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1BD64E4E" w14:textId="77777777" w:rsidTr="002543A9">
        <w:trPr>
          <w:trHeight w:hRule="exact" w:val="1418"/>
        </w:trPr>
        <w:tc>
          <w:tcPr>
            <w:tcW w:w="7761" w:type="dxa"/>
            <w:vAlign w:val="center"/>
          </w:tcPr>
          <w:p w14:paraId="0B06B83A" w14:textId="780F0CBC" w:rsidR="00C46A59" w:rsidRPr="00F579ED" w:rsidRDefault="00DE48BD" w:rsidP="00C46A59">
            <w:pPr>
              <w:pStyle w:val="Title"/>
            </w:pPr>
            <w:r>
              <w:t xml:space="preserve">2021 Kangaroo Harvest </w:t>
            </w:r>
            <w:r w:rsidR="00245426">
              <w:t>Quota Determination</w:t>
            </w:r>
          </w:p>
        </w:tc>
      </w:tr>
      <w:tr w:rsidR="00C46A59" w:rsidRPr="00F579ED" w14:paraId="5B617AE2" w14:textId="77777777" w:rsidTr="002543A9">
        <w:trPr>
          <w:trHeight w:val="1247"/>
        </w:trPr>
        <w:tc>
          <w:tcPr>
            <w:tcW w:w="7761" w:type="dxa"/>
            <w:vAlign w:val="center"/>
          </w:tcPr>
          <w:p w14:paraId="0786D9E2" w14:textId="77777777" w:rsidR="00C46A59" w:rsidRPr="00F579ED" w:rsidRDefault="00245426" w:rsidP="00C46A59">
            <w:pPr>
              <w:pStyle w:val="Subtitle"/>
            </w:pPr>
            <w:r>
              <w:t xml:space="preserve"> Quota for 1 January 2021 to 31 December 2021</w:t>
            </w:r>
          </w:p>
        </w:tc>
      </w:tr>
    </w:tbl>
    <w:p w14:paraId="45B40A64" w14:textId="77777777" w:rsidR="00C46A59" w:rsidRDefault="00C46A59" w:rsidP="00C46A59"/>
    <w:p w14:paraId="26FF7373"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30FCC371" w14:textId="77777777" w:rsidR="00245426" w:rsidRDefault="00245426" w:rsidP="00245426">
      <w:pPr>
        <w:pStyle w:val="Heading2"/>
        <w:numPr>
          <w:ilvl w:val="0"/>
          <w:numId w:val="0"/>
        </w:numPr>
        <w:jc w:val="both"/>
      </w:pPr>
      <w:r>
        <w:t xml:space="preserve">Kangaroo Harvesting Program </w:t>
      </w:r>
    </w:p>
    <w:p w14:paraId="6BE29685" w14:textId="77777777" w:rsidR="00245426" w:rsidRDefault="00245426" w:rsidP="00245426">
      <w:pPr>
        <w:pStyle w:val="BodyText"/>
        <w:jc w:val="both"/>
      </w:pPr>
      <w:r w:rsidRPr="00934F87">
        <w:t xml:space="preserve">The Kangaroo Harvest Program (KHP) </w:t>
      </w:r>
      <w:r>
        <w:t xml:space="preserve">allows harvesting of Eastern and Western grey kangaroos on private land for commercial purposes. </w:t>
      </w:r>
    </w:p>
    <w:p w14:paraId="6EB56FAA" w14:textId="48877E4F" w:rsidR="00245426" w:rsidRDefault="00245426" w:rsidP="00245426">
      <w:pPr>
        <w:pStyle w:val="BodyText"/>
        <w:jc w:val="both"/>
      </w:pPr>
      <w:r>
        <w:t xml:space="preserve">The </w:t>
      </w:r>
      <w:r w:rsidR="009238E4">
        <w:t>commercial harvest of kangaroos</w:t>
      </w:r>
      <w:r>
        <w:t xml:space="preserve"> </w:t>
      </w:r>
      <w:r w:rsidRPr="00934F87">
        <w:t xml:space="preserve">is </w:t>
      </w:r>
      <w:r>
        <w:t>authorised</w:t>
      </w:r>
      <w:r w:rsidRPr="00934F87">
        <w:t xml:space="preserve"> by the Kangaroo Harvest Management Plan 2021-2023 under the </w:t>
      </w:r>
      <w:r w:rsidRPr="00934F87">
        <w:rPr>
          <w:i/>
          <w:iCs/>
        </w:rPr>
        <w:t>Wildlife Act 1975</w:t>
      </w:r>
      <w:r w:rsidRPr="00934F87">
        <w:t xml:space="preserve">.  This plan requires the Secretary to the Department of Environment, Land, Water and Planning (DELWP) to </w:t>
      </w:r>
      <w:r>
        <w:t>set</w:t>
      </w:r>
      <w:r w:rsidRPr="00934F87">
        <w:t xml:space="preserve"> a quota</w:t>
      </w:r>
      <w:r>
        <w:t xml:space="preserve"> each year</w:t>
      </w:r>
      <w:r w:rsidRPr="00934F87">
        <w:t xml:space="preserve">. </w:t>
      </w:r>
      <w:r>
        <w:t xml:space="preserve">The quota is the maximum number of kangaroos that can be harvested commercially in a year. </w:t>
      </w:r>
    </w:p>
    <w:p w14:paraId="4189B6A2" w14:textId="57D62E8E" w:rsidR="00245426" w:rsidRDefault="00245426" w:rsidP="00245426">
      <w:pPr>
        <w:pStyle w:val="BodyText"/>
        <w:jc w:val="both"/>
      </w:pPr>
      <w:r w:rsidRPr="00934F87">
        <w:t xml:space="preserve">The </w:t>
      </w:r>
      <w:r>
        <w:t>quota takes into account the predicted numbers of Authorities to Control Wildlife</w:t>
      </w:r>
      <w:r w:rsidR="00CE2EED">
        <w:t xml:space="preserve"> (ATCW)</w:t>
      </w:r>
      <w:r>
        <w:t xml:space="preserve"> that may be issued to </w:t>
      </w:r>
      <w:r w:rsidRPr="00934F87">
        <w:t xml:space="preserve">landholders </w:t>
      </w:r>
      <w:r>
        <w:t xml:space="preserve">to reduce </w:t>
      </w:r>
      <w:r w:rsidRPr="00934F87">
        <w:t>damage caused by kangaroos.</w:t>
      </w:r>
    </w:p>
    <w:p w14:paraId="5B3031A7" w14:textId="77777777" w:rsidR="00245426" w:rsidRDefault="00245426" w:rsidP="00245426">
      <w:pPr>
        <w:pStyle w:val="BodyText"/>
        <w:jc w:val="both"/>
      </w:pPr>
      <w:r>
        <w:t xml:space="preserve">The quota is set annually to respond to changes in kangaroo populations and ensure populations are sustainable. </w:t>
      </w:r>
    </w:p>
    <w:p w14:paraId="62EDB479" w14:textId="77777777" w:rsidR="00245426" w:rsidRPr="00FC4F19" w:rsidRDefault="00245426" w:rsidP="00245426">
      <w:pPr>
        <w:pStyle w:val="Heading2"/>
        <w:rPr>
          <w:rStyle w:val="Heading2Char"/>
          <w:b/>
          <w:bCs/>
          <w:iCs/>
        </w:rPr>
      </w:pPr>
      <w:r w:rsidRPr="00FC4F19">
        <w:rPr>
          <w:rStyle w:val="Heading2Char"/>
          <w:b/>
          <w:bCs/>
          <w:iCs/>
        </w:rPr>
        <w:t>Kangaroo quotas in 2021</w:t>
      </w:r>
    </w:p>
    <w:p w14:paraId="543179DF" w14:textId="77777777" w:rsidR="00245426" w:rsidRDefault="00245426" w:rsidP="00245426">
      <w:pPr>
        <w:pStyle w:val="BodyText"/>
        <w:jc w:val="both"/>
      </w:pPr>
      <w:r w:rsidRPr="009F7D57">
        <w:t xml:space="preserve">The KHP quota for 2021 </w:t>
      </w:r>
      <w:r>
        <w:t>is</w:t>
      </w:r>
      <w:r w:rsidRPr="009F7D57">
        <w:t xml:space="preserve"> 95,680</w:t>
      </w:r>
      <w:r>
        <w:t>.</w:t>
      </w:r>
      <w:r w:rsidRPr="009F7D57">
        <w:t xml:space="preserve"> The recommended total take for 2021 is 191,200</w:t>
      </w:r>
      <w:r>
        <w:t xml:space="preserve">, which includes both commercial harvest under </w:t>
      </w:r>
      <w:r w:rsidRPr="009F7D57">
        <w:t>the KHP and predicted take through the ATCW system.</w:t>
      </w:r>
      <w:r>
        <w:t xml:space="preserve"> </w:t>
      </w:r>
    </w:p>
    <w:p w14:paraId="091D39C8" w14:textId="77777777" w:rsidR="00245426" w:rsidRDefault="00245426" w:rsidP="00245426">
      <w:pPr>
        <w:pStyle w:val="BodyText"/>
        <w:jc w:val="both"/>
      </w:pPr>
      <w:r>
        <w:t xml:space="preserve">Victoria is divided into seven harvest zones to allow quotas to be responsive to local kangaroo population changes. Table 1 shows the quota and recommended total take in each harvest zone. </w:t>
      </w:r>
    </w:p>
    <w:p w14:paraId="413E51FF" w14:textId="77777777" w:rsidR="00245426" w:rsidRPr="00AD2897" w:rsidRDefault="00245426" w:rsidP="00245426">
      <w:pPr>
        <w:pStyle w:val="TableHeadingLeft"/>
        <w:rPr>
          <w:b w:val="0"/>
          <w:i/>
          <w:iCs/>
        </w:rPr>
      </w:pPr>
      <w:r w:rsidRPr="00AD2897">
        <w:rPr>
          <w:i/>
          <w:iCs/>
        </w:rPr>
        <w:t xml:space="preserve">Table 1. </w:t>
      </w:r>
      <w:r>
        <w:rPr>
          <w:i/>
          <w:iCs/>
        </w:rPr>
        <w:t>Kangaroo Harvest Program quota and r</w:t>
      </w:r>
      <w:r w:rsidRPr="00AD2897">
        <w:rPr>
          <w:i/>
          <w:iCs/>
        </w:rPr>
        <w:t>ecommended total take of grey kangaroos</w:t>
      </w:r>
      <w:r>
        <w:rPr>
          <w:i/>
          <w:iCs/>
        </w:rPr>
        <w:t>*</w:t>
      </w:r>
      <w:r w:rsidRPr="00AD2897">
        <w:rPr>
          <w:i/>
          <w:iCs/>
        </w:rPr>
        <w:t xml:space="preserve"> (under ATCW and KHP) in each Victorian harvest zone for the period 1 January – 31 December 2021.</w:t>
      </w:r>
      <w:r w:rsidRPr="00AD2897">
        <w:rPr>
          <w:b w:val="0"/>
          <w:i/>
          <w:iCs/>
        </w:rPr>
        <w:t xml:space="preserve"> </w:t>
      </w:r>
      <w:r>
        <w:rPr>
          <w:b w:val="0"/>
          <w:i/>
          <w:iCs/>
        </w:rPr>
        <w:br/>
      </w:r>
    </w:p>
    <w:tbl>
      <w:tblPr>
        <w:tblStyle w:val="DELWPTable"/>
        <w:tblW w:w="0" w:type="auto"/>
        <w:tblInd w:w="709" w:type="dxa"/>
        <w:tblLook w:val="01E0" w:firstRow="1" w:lastRow="1" w:firstColumn="1" w:lastColumn="1" w:noHBand="0" w:noVBand="0"/>
      </w:tblPr>
      <w:tblGrid>
        <w:gridCol w:w="1700"/>
        <w:gridCol w:w="2127"/>
        <w:gridCol w:w="3969"/>
      </w:tblGrid>
      <w:tr w:rsidR="00245426" w:rsidRPr="00D836E6" w14:paraId="27AC58EC" w14:textId="77777777" w:rsidTr="000621B6">
        <w:trPr>
          <w:cnfStyle w:val="100000000000" w:firstRow="1" w:lastRow="0" w:firstColumn="0" w:lastColumn="0" w:oddVBand="0" w:evenVBand="0" w:oddHBand="0" w:evenHBand="0" w:firstRowFirstColumn="0" w:firstRowLastColumn="0" w:lastRowFirstColumn="0" w:lastRowLastColumn="0"/>
        </w:trPr>
        <w:tc>
          <w:tcPr>
            <w:tcW w:w="1700" w:type="dxa"/>
          </w:tcPr>
          <w:p w14:paraId="0EDC8127" w14:textId="77777777" w:rsidR="00245426" w:rsidRPr="00D836E6" w:rsidRDefault="00245426" w:rsidP="000621B6">
            <w:pPr>
              <w:keepNext/>
              <w:keepLines/>
              <w:spacing w:before="60" w:after="60" w:line="276" w:lineRule="auto"/>
              <w:rPr>
                <w:rFonts w:asciiTheme="majorHAnsi" w:hAnsiTheme="majorHAnsi" w:cstheme="majorHAnsi"/>
                <w:color w:val="FFFFFF" w:themeColor="background1"/>
                <w:lang w:eastAsia="en-US"/>
              </w:rPr>
            </w:pPr>
            <w:r w:rsidRPr="00D836E6">
              <w:rPr>
                <w:rFonts w:asciiTheme="majorHAnsi" w:hAnsiTheme="majorHAnsi" w:cstheme="majorHAnsi"/>
                <w:color w:val="FFFFFF" w:themeColor="background1"/>
                <w:lang w:eastAsia="en-US"/>
              </w:rPr>
              <w:t>Harvest Zone</w:t>
            </w:r>
          </w:p>
        </w:tc>
        <w:tc>
          <w:tcPr>
            <w:tcW w:w="2127" w:type="dxa"/>
          </w:tcPr>
          <w:p w14:paraId="3C535CA8" w14:textId="77777777" w:rsidR="00245426" w:rsidRDefault="00245426" w:rsidP="000621B6">
            <w:pPr>
              <w:keepNext/>
              <w:keepLines/>
              <w:spacing w:before="60" w:after="60" w:line="276" w:lineRule="auto"/>
              <w:jc w:val="right"/>
              <w:rPr>
                <w:rFonts w:asciiTheme="majorHAnsi" w:hAnsiTheme="majorHAnsi" w:cstheme="majorHAnsi"/>
                <w:color w:val="FFFFFF" w:themeColor="background1"/>
                <w:lang w:eastAsia="en-US"/>
              </w:rPr>
            </w:pPr>
            <w:r>
              <w:rPr>
                <w:rFonts w:asciiTheme="majorHAnsi" w:hAnsiTheme="majorHAnsi" w:cstheme="majorHAnsi"/>
                <w:color w:val="FFFFFF" w:themeColor="background1"/>
                <w:lang w:eastAsia="en-US"/>
              </w:rPr>
              <w:t>Kangaroo Harvest Program 2021 Quota</w:t>
            </w:r>
          </w:p>
        </w:tc>
        <w:tc>
          <w:tcPr>
            <w:tcW w:w="3969" w:type="dxa"/>
          </w:tcPr>
          <w:p w14:paraId="6516684E" w14:textId="77777777" w:rsidR="00245426" w:rsidRPr="00D836E6" w:rsidRDefault="00245426" w:rsidP="000621B6">
            <w:pPr>
              <w:keepNext/>
              <w:keepLines/>
              <w:spacing w:before="60" w:after="60" w:line="276" w:lineRule="auto"/>
              <w:jc w:val="right"/>
              <w:rPr>
                <w:rFonts w:asciiTheme="majorHAnsi" w:hAnsiTheme="majorHAnsi" w:cstheme="majorHAnsi"/>
                <w:color w:val="FFFFFF" w:themeColor="background1"/>
                <w:lang w:eastAsia="en-US"/>
              </w:rPr>
            </w:pPr>
            <w:r>
              <w:rPr>
                <w:rFonts w:asciiTheme="majorHAnsi" w:hAnsiTheme="majorHAnsi" w:cstheme="majorHAnsi"/>
                <w:color w:val="FFFFFF" w:themeColor="background1"/>
                <w:lang w:eastAsia="en-US"/>
              </w:rPr>
              <w:t>Recommended total</w:t>
            </w:r>
            <w:r w:rsidRPr="00D836E6">
              <w:rPr>
                <w:rFonts w:asciiTheme="majorHAnsi" w:hAnsiTheme="majorHAnsi" w:cstheme="majorHAnsi"/>
                <w:color w:val="FFFFFF" w:themeColor="background1"/>
                <w:lang w:eastAsia="en-US"/>
              </w:rPr>
              <w:t xml:space="preserve"> take</w:t>
            </w:r>
            <w:r>
              <w:rPr>
                <w:rFonts w:asciiTheme="majorHAnsi" w:hAnsiTheme="majorHAnsi" w:cstheme="majorHAnsi"/>
                <w:color w:val="FFFFFF" w:themeColor="background1"/>
                <w:lang w:eastAsia="en-US"/>
              </w:rPr>
              <w:t xml:space="preserve"> (including both ATCW and KHP quota)</w:t>
            </w:r>
          </w:p>
        </w:tc>
      </w:tr>
      <w:tr w:rsidR="00245426" w:rsidRPr="00D836E6" w14:paraId="41BF37A5" w14:textId="77777777" w:rsidTr="000621B6">
        <w:tc>
          <w:tcPr>
            <w:tcW w:w="1700" w:type="dxa"/>
          </w:tcPr>
          <w:p w14:paraId="19DC0E62" w14:textId="77777777" w:rsidR="00245426" w:rsidRPr="00D836E6" w:rsidRDefault="00245426" w:rsidP="000621B6">
            <w:pPr>
              <w:keepNext/>
              <w:keepLines/>
              <w:spacing w:line="276" w:lineRule="auto"/>
              <w:rPr>
                <w:rFonts w:asciiTheme="majorHAnsi" w:hAnsiTheme="majorHAnsi" w:cstheme="majorHAnsi"/>
              </w:rPr>
            </w:pPr>
            <w:r w:rsidRPr="00D836E6">
              <w:rPr>
                <w:rFonts w:asciiTheme="majorHAnsi" w:hAnsiTheme="majorHAnsi" w:cstheme="majorHAnsi"/>
              </w:rPr>
              <w:t>Mallee</w:t>
            </w:r>
          </w:p>
        </w:tc>
        <w:tc>
          <w:tcPr>
            <w:tcW w:w="2127" w:type="dxa"/>
            <w:vAlign w:val="bottom"/>
          </w:tcPr>
          <w:p w14:paraId="2A20855E" w14:textId="77777777" w:rsidR="00245426" w:rsidRPr="00B44126" w:rsidRDefault="00245426" w:rsidP="000621B6">
            <w:pPr>
              <w:keepNext/>
              <w:keepLines/>
              <w:spacing w:line="276" w:lineRule="auto"/>
              <w:jc w:val="right"/>
              <w:rPr>
                <w:rFonts w:asciiTheme="majorHAnsi" w:hAnsiTheme="majorHAnsi" w:cstheme="majorHAnsi"/>
              </w:rPr>
            </w:pPr>
            <w:r w:rsidRPr="00B44126">
              <w:rPr>
                <w:rFonts w:asciiTheme="majorHAnsi" w:hAnsiTheme="majorHAnsi" w:cstheme="majorHAnsi"/>
              </w:rPr>
              <w:t>1,110 </w:t>
            </w:r>
            <w:r>
              <w:rPr>
                <w:rFonts w:asciiTheme="majorHAnsi" w:hAnsiTheme="majorHAnsi" w:cstheme="majorHAnsi"/>
              </w:rPr>
              <w:t xml:space="preserve">  </w:t>
            </w:r>
          </w:p>
        </w:tc>
        <w:tc>
          <w:tcPr>
            <w:tcW w:w="3969" w:type="dxa"/>
          </w:tcPr>
          <w:p w14:paraId="3CA930BB" w14:textId="77777777" w:rsidR="00245426" w:rsidRPr="00BC30BE" w:rsidRDefault="00245426" w:rsidP="000621B6">
            <w:pPr>
              <w:keepNext/>
              <w:keepLines/>
              <w:spacing w:line="276" w:lineRule="auto"/>
              <w:jc w:val="right"/>
              <w:rPr>
                <w:rFonts w:asciiTheme="majorHAnsi" w:hAnsiTheme="majorHAnsi" w:cstheme="majorHAnsi"/>
              </w:rPr>
            </w:pPr>
            <w:r w:rsidRPr="00BC30BE">
              <w:rPr>
                <w:rFonts w:asciiTheme="majorHAnsi" w:hAnsiTheme="majorHAnsi" w:cstheme="majorHAnsi"/>
              </w:rPr>
              <w:t>3,700 </w:t>
            </w:r>
          </w:p>
        </w:tc>
      </w:tr>
      <w:tr w:rsidR="00245426" w:rsidRPr="00D836E6" w14:paraId="5C0E3487" w14:textId="77777777" w:rsidTr="000621B6">
        <w:tc>
          <w:tcPr>
            <w:tcW w:w="1700" w:type="dxa"/>
          </w:tcPr>
          <w:p w14:paraId="5FC69A3E" w14:textId="77777777" w:rsidR="00245426" w:rsidRPr="00D836E6" w:rsidRDefault="00245426" w:rsidP="000621B6">
            <w:pPr>
              <w:keepNext/>
              <w:keepLines/>
              <w:spacing w:line="276" w:lineRule="auto"/>
              <w:rPr>
                <w:rFonts w:asciiTheme="majorHAnsi" w:hAnsiTheme="majorHAnsi" w:cstheme="majorHAnsi"/>
              </w:rPr>
            </w:pPr>
            <w:r w:rsidRPr="00D836E6">
              <w:rPr>
                <w:rFonts w:asciiTheme="majorHAnsi" w:hAnsiTheme="majorHAnsi" w:cstheme="majorHAnsi"/>
              </w:rPr>
              <w:t>Upper Wimmera</w:t>
            </w:r>
          </w:p>
        </w:tc>
        <w:tc>
          <w:tcPr>
            <w:tcW w:w="2127" w:type="dxa"/>
            <w:vAlign w:val="bottom"/>
          </w:tcPr>
          <w:p w14:paraId="61182C8A" w14:textId="77777777" w:rsidR="00245426" w:rsidRPr="00B44126" w:rsidRDefault="00245426" w:rsidP="000621B6">
            <w:pPr>
              <w:keepNext/>
              <w:keepLines/>
              <w:spacing w:line="276" w:lineRule="auto"/>
              <w:jc w:val="right"/>
              <w:rPr>
                <w:rFonts w:asciiTheme="majorHAnsi" w:hAnsiTheme="majorHAnsi" w:cstheme="majorHAnsi"/>
              </w:rPr>
            </w:pPr>
            <w:r w:rsidRPr="00B44126">
              <w:rPr>
                <w:rFonts w:asciiTheme="majorHAnsi" w:hAnsiTheme="majorHAnsi" w:cstheme="majorHAnsi"/>
              </w:rPr>
              <w:t> 9,610  </w:t>
            </w:r>
          </w:p>
        </w:tc>
        <w:tc>
          <w:tcPr>
            <w:tcW w:w="3969" w:type="dxa"/>
          </w:tcPr>
          <w:p w14:paraId="7771992C" w14:textId="77777777" w:rsidR="00245426" w:rsidRPr="00BC30BE" w:rsidRDefault="00245426" w:rsidP="000621B6">
            <w:pPr>
              <w:keepNext/>
              <w:keepLines/>
              <w:spacing w:line="276" w:lineRule="auto"/>
              <w:jc w:val="right"/>
              <w:rPr>
                <w:rFonts w:asciiTheme="majorHAnsi" w:hAnsiTheme="majorHAnsi" w:cstheme="majorHAnsi"/>
              </w:rPr>
            </w:pPr>
            <w:r w:rsidRPr="00BC30BE">
              <w:rPr>
                <w:rFonts w:asciiTheme="majorHAnsi" w:hAnsiTheme="majorHAnsi" w:cstheme="majorHAnsi"/>
              </w:rPr>
              <w:t>13,850 </w:t>
            </w:r>
          </w:p>
        </w:tc>
      </w:tr>
      <w:tr w:rsidR="00245426" w:rsidRPr="00D836E6" w14:paraId="46F44553" w14:textId="77777777" w:rsidTr="000621B6">
        <w:tc>
          <w:tcPr>
            <w:tcW w:w="1700" w:type="dxa"/>
          </w:tcPr>
          <w:p w14:paraId="28020F83" w14:textId="77777777" w:rsidR="00245426" w:rsidRPr="00D836E6" w:rsidRDefault="00245426" w:rsidP="000621B6">
            <w:pPr>
              <w:keepNext/>
              <w:keepLines/>
              <w:spacing w:line="276" w:lineRule="auto"/>
              <w:rPr>
                <w:rFonts w:asciiTheme="majorHAnsi" w:hAnsiTheme="majorHAnsi" w:cstheme="majorHAnsi"/>
              </w:rPr>
            </w:pPr>
            <w:r w:rsidRPr="00D836E6">
              <w:rPr>
                <w:rFonts w:asciiTheme="majorHAnsi" w:hAnsiTheme="majorHAnsi" w:cstheme="majorHAnsi"/>
              </w:rPr>
              <w:t>Lower Wimmera</w:t>
            </w:r>
          </w:p>
        </w:tc>
        <w:tc>
          <w:tcPr>
            <w:tcW w:w="2127" w:type="dxa"/>
            <w:vAlign w:val="bottom"/>
          </w:tcPr>
          <w:p w14:paraId="7219E0B7" w14:textId="77777777" w:rsidR="00245426" w:rsidRPr="00B44126" w:rsidRDefault="00245426" w:rsidP="000621B6">
            <w:pPr>
              <w:keepNext/>
              <w:keepLines/>
              <w:spacing w:line="276" w:lineRule="auto"/>
              <w:jc w:val="right"/>
              <w:rPr>
                <w:rFonts w:asciiTheme="majorHAnsi" w:hAnsiTheme="majorHAnsi" w:cstheme="majorHAnsi"/>
              </w:rPr>
            </w:pPr>
            <w:r w:rsidRPr="00B44126">
              <w:rPr>
                <w:rFonts w:asciiTheme="majorHAnsi" w:hAnsiTheme="majorHAnsi" w:cstheme="majorHAnsi"/>
              </w:rPr>
              <w:t>25,850  </w:t>
            </w:r>
          </w:p>
        </w:tc>
        <w:tc>
          <w:tcPr>
            <w:tcW w:w="3969" w:type="dxa"/>
          </w:tcPr>
          <w:p w14:paraId="65CEBB4C" w14:textId="77777777" w:rsidR="00245426" w:rsidRPr="00BC30BE" w:rsidRDefault="00245426" w:rsidP="000621B6">
            <w:pPr>
              <w:keepNext/>
              <w:keepLines/>
              <w:spacing w:line="276" w:lineRule="auto"/>
              <w:jc w:val="right"/>
              <w:rPr>
                <w:rFonts w:asciiTheme="majorHAnsi" w:hAnsiTheme="majorHAnsi" w:cstheme="majorHAnsi"/>
              </w:rPr>
            </w:pPr>
            <w:r w:rsidRPr="00BC30BE">
              <w:rPr>
                <w:rFonts w:asciiTheme="majorHAnsi" w:hAnsiTheme="majorHAnsi" w:cstheme="majorHAnsi"/>
              </w:rPr>
              <w:t>42,800 </w:t>
            </w:r>
          </w:p>
        </w:tc>
      </w:tr>
      <w:tr w:rsidR="00245426" w:rsidRPr="00D836E6" w14:paraId="74062C17" w14:textId="77777777" w:rsidTr="000621B6">
        <w:tc>
          <w:tcPr>
            <w:tcW w:w="1700" w:type="dxa"/>
          </w:tcPr>
          <w:p w14:paraId="24145E84" w14:textId="77777777" w:rsidR="00245426" w:rsidRPr="00D836E6" w:rsidRDefault="00245426" w:rsidP="000621B6">
            <w:pPr>
              <w:keepNext/>
              <w:keepLines/>
              <w:spacing w:line="276" w:lineRule="auto"/>
              <w:rPr>
                <w:rFonts w:asciiTheme="majorHAnsi" w:hAnsiTheme="majorHAnsi" w:cstheme="majorHAnsi"/>
              </w:rPr>
            </w:pPr>
            <w:r w:rsidRPr="00D836E6">
              <w:rPr>
                <w:rFonts w:asciiTheme="majorHAnsi" w:hAnsiTheme="majorHAnsi" w:cstheme="majorHAnsi"/>
              </w:rPr>
              <w:t>Central</w:t>
            </w:r>
          </w:p>
        </w:tc>
        <w:tc>
          <w:tcPr>
            <w:tcW w:w="2127" w:type="dxa"/>
            <w:vAlign w:val="bottom"/>
          </w:tcPr>
          <w:p w14:paraId="3C7AADDE" w14:textId="77777777" w:rsidR="00245426" w:rsidRPr="00B44126" w:rsidRDefault="00245426" w:rsidP="000621B6">
            <w:pPr>
              <w:keepNext/>
              <w:keepLines/>
              <w:spacing w:line="276" w:lineRule="auto"/>
              <w:jc w:val="right"/>
              <w:rPr>
                <w:rFonts w:asciiTheme="majorHAnsi" w:hAnsiTheme="majorHAnsi" w:cstheme="majorHAnsi"/>
              </w:rPr>
            </w:pPr>
            <w:r w:rsidRPr="00B44126">
              <w:rPr>
                <w:rFonts w:asciiTheme="majorHAnsi" w:hAnsiTheme="majorHAnsi" w:cstheme="majorHAnsi"/>
              </w:rPr>
              <w:t>25,500  </w:t>
            </w:r>
          </w:p>
        </w:tc>
        <w:tc>
          <w:tcPr>
            <w:tcW w:w="3969" w:type="dxa"/>
          </w:tcPr>
          <w:p w14:paraId="496CF52A" w14:textId="77777777" w:rsidR="00245426" w:rsidRPr="00BC30BE" w:rsidRDefault="00245426" w:rsidP="000621B6">
            <w:pPr>
              <w:keepNext/>
              <w:keepLines/>
              <w:spacing w:line="276" w:lineRule="auto"/>
              <w:jc w:val="right"/>
              <w:rPr>
                <w:rFonts w:asciiTheme="majorHAnsi" w:hAnsiTheme="majorHAnsi" w:cstheme="majorHAnsi"/>
              </w:rPr>
            </w:pPr>
            <w:r w:rsidRPr="00BC30BE">
              <w:rPr>
                <w:rFonts w:asciiTheme="majorHAnsi" w:hAnsiTheme="majorHAnsi" w:cstheme="majorHAnsi"/>
              </w:rPr>
              <w:t>65,900 </w:t>
            </w:r>
          </w:p>
        </w:tc>
      </w:tr>
      <w:tr w:rsidR="00245426" w:rsidRPr="00D836E6" w14:paraId="691D9968" w14:textId="77777777" w:rsidTr="000621B6">
        <w:tc>
          <w:tcPr>
            <w:tcW w:w="1700" w:type="dxa"/>
          </w:tcPr>
          <w:p w14:paraId="2BD65469" w14:textId="77777777" w:rsidR="00245426" w:rsidRPr="00D836E6" w:rsidRDefault="00245426" w:rsidP="000621B6">
            <w:pPr>
              <w:keepNext/>
              <w:keepLines/>
              <w:spacing w:line="276" w:lineRule="auto"/>
              <w:rPr>
                <w:rFonts w:asciiTheme="majorHAnsi" w:hAnsiTheme="majorHAnsi" w:cstheme="majorHAnsi"/>
              </w:rPr>
            </w:pPr>
            <w:r w:rsidRPr="00D836E6">
              <w:rPr>
                <w:rFonts w:asciiTheme="majorHAnsi" w:hAnsiTheme="majorHAnsi" w:cstheme="majorHAnsi"/>
              </w:rPr>
              <w:t>Otway</w:t>
            </w:r>
          </w:p>
        </w:tc>
        <w:tc>
          <w:tcPr>
            <w:tcW w:w="2127" w:type="dxa"/>
            <w:vAlign w:val="bottom"/>
          </w:tcPr>
          <w:p w14:paraId="587102E8" w14:textId="77777777" w:rsidR="00245426" w:rsidRPr="00B44126" w:rsidRDefault="00245426" w:rsidP="000621B6">
            <w:pPr>
              <w:keepNext/>
              <w:keepLines/>
              <w:spacing w:line="276" w:lineRule="auto"/>
              <w:jc w:val="right"/>
              <w:rPr>
                <w:rFonts w:asciiTheme="majorHAnsi" w:hAnsiTheme="majorHAnsi" w:cstheme="majorHAnsi"/>
              </w:rPr>
            </w:pPr>
            <w:r w:rsidRPr="00B44126">
              <w:rPr>
                <w:rFonts w:asciiTheme="majorHAnsi" w:hAnsiTheme="majorHAnsi" w:cstheme="majorHAnsi"/>
              </w:rPr>
              <w:t>16,500  </w:t>
            </w:r>
          </w:p>
        </w:tc>
        <w:tc>
          <w:tcPr>
            <w:tcW w:w="3969" w:type="dxa"/>
          </w:tcPr>
          <w:p w14:paraId="0289520E" w14:textId="77777777" w:rsidR="00245426" w:rsidRPr="00BC30BE" w:rsidRDefault="00245426" w:rsidP="000621B6">
            <w:pPr>
              <w:keepNext/>
              <w:keepLines/>
              <w:spacing w:line="276" w:lineRule="auto"/>
              <w:jc w:val="right"/>
              <w:rPr>
                <w:rFonts w:asciiTheme="majorHAnsi" w:hAnsiTheme="majorHAnsi" w:cstheme="majorHAnsi"/>
              </w:rPr>
            </w:pPr>
            <w:r w:rsidRPr="00BC30BE">
              <w:rPr>
                <w:rFonts w:asciiTheme="majorHAnsi" w:hAnsiTheme="majorHAnsi" w:cstheme="majorHAnsi"/>
              </w:rPr>
              <w:t>23,700 </w:t>
            </w:r>
          </w:p>
        </w:tc>
      </w:tr>
      <w:tr w:rsidR="00245426" w:rsidRPr="00D836E6" w14:paraId="2D611EB8" w14:textId="77777777" w:rsidTr="000621B6">
        <w:tc>
          <w:tcPr>
            <w:tcW w:w="1700" w:type="dxa"/>
          </w:tcPr>
          <w:p w14:paraId="2F931F13" w14:textId="77777777" w:rsidR="00245426" w:rsidRPr="00B94381" w:rsidRDefault="00245426" w:rsidP="000621B6">
            <w:pPr>
              <w:keepNext/>
              <w:keepLines/>
              <w:spacing w:line="276" w:lineRule="auto"/>
              <w:rPr>
                <w:rFonts w:asciiTheme="majorHAnsi" w:hAnsiTheme="majorHAnsi" w:cstheme="majorHAnsi"/>
              </w:rPr>
            </w:pPr>
            <w:r w:rsidRPr="00B94381">
              <w:rPr>
                <w:rFonts w:asciiTheme="majorHAnsi" w:hAnsiTheme="majorHAnsi" w:cstheme="majorHAnsi"/>
              </w:rPr>
              <w:t>North East</w:t>
            </w:r>
          </w:p>
        </w:tc>
        <w:tc>
          <w:tcPr>
            <w:tcW w:w="2127" w:type="dxa"/>
            <w:vAlign w:val="bottom"/>
          </w:tcPr>
          <w:p w14:paraId="3A1BE2C9" w14:textId="77777777" w:rsidR="00245426" w:rsidRPr="00B44126" w:rsidRDefault="00245426" w:rsidP="000621B6">
            <w:pPr>
              <w:keepNext/>
              <w:keepLines/>
              <w:spacing w:line="276" w:lineRule="auto"/>
              <w:jc w:val="right"/>
              <w:rPr>
                <w:rFonts w:asciiTheme="majorHAnsi" w:hAnsiTheme="majorHAnsi" w:cstheme="majorHAnsi"/>
              </w:rPr>
            </w:pPr>
            <w:r w:rsidRPr="00B44126">
              <w:rPr>
                <w:rFonts w:asciiTheme="majorHAnsi" w:hAnsiTheme="majorHAnsi" w:cstheme="majorHAnsi"/>
              </w:rPr>
              <w:t>8,060  </w:t>
            </w:r>
          </w:p>
        </w:tc>
        <w:tc>
          <w:tcPr>
            <w:tcW w:w="3969" w:type="dxa"/>
          </w:tcPr>
          <w:p w14:paraId="5AD80C6A" w14:textId="77777777" w:rsidR="00245426" w:rsidRPr="00BC30BE" w:rsidRDefault="00245426" w:rsidP="000621B6">
            <w:pPr>
              <w:keepNext/>
              <w:keepLines/>
              <w:spacing w:line="276" w:lineRule="auto"/>
              <w:jc w:val="right"/>
              <w:rPr>
                <w:rFonts w:asciiTheme="majorHAnsi" w:hAnsiTheme="majorHAnsi" w:cstheme="majorHAnsi"/>
              </w:rPr>
            </w:pPr>
            <w:r w:rsidRPr="00BC30BE">
              <w:rPr>
                <w:rFonts w:asciiTheme="majorHAnsi" w:hAnsiTheme="majorHAnsi" w:cstheme="majorHAnsi"/>
              </w:rPr>
              <w:t>24,000 </w:t>
            </w:r>
          </w:p>
        </w:tc>
      </w:tr>
      <w:tr w:rsidR="00245426" w:rsidRPr="00D836E6" w14:paraId="006C97BB" w14:textId="77777777" w:rsidTr="000621B6">
        <w:tc>
          <w:tcPr>
            <w:tcW w:w="1700" w:type="dxa"/>
          </w:tcPr>
          <w:p w14:paraId="01E43504" w14:textId="77777777" w:rsidR="00245426" w:rsidRPr="00B94381" w:rsidRDefault="00245426" w:rsidP="000621B6">
            <w:pPr>
              <w:keepNext/>
              <w:keepLines/>
              <w:spacing w:line="276" w:lineRule="auto"/>
              <w:rPr>
                <w:rFonts w:asciiTheme="majorHAnsi" w:hAnsiTheme="majorHAnsi" w:cstheme="majorHAnsi"/>
              </w:rPr>
            </w:pPr>
            <w:r w:rsidRPr="00B94381">
              <w:rPr>
                <w:rFonts w:asciiTheme="majorHAnsi" w:hAnsiTheme="majorHAnsi" w:cstheme="majorHAnsi"/>
              </w:rPr>
              <w:t>Gippsland</w:t>
            </w:r>
          </w:p>
        </w:tc>
        <w:tc>
          <w:tcPr>
            <w:tcW w:w="2127" w:type="dxa"/>
            <w:vAlign w:val="bottom"/>
          </w:tcPr>
          <w:p w14:paraId="2AD28876" w14:textId="77777777" w:rsidR="00245426" w:rsidRPr="00B44126" w:rsidRDefault="00245426" w:rsidP="000621B6">
            <w:pPr>
              <w:keepNext/>
              <w:keepLines/>
              <w:spacing w:line="276" w:lineRule="auto"/>
              <w:jc w:val="right"/>
              <w:rPr>
                <w:rFonts w:asciiTheme="majorHAnsi" w:hAnsiTheme="majorHAnsi" w:cstheme="majorHAnsi"/>
              </w:rPr>
            </w:pPr>
            <w:r w:rsidRPr="00B44126">
              <w:rPr>
                <w:rFonts w:asciiTheme="majorHAnsi" w:hAnsiTheme="majorHAnsi" w:cstheme="majorHAnsi"/>
              </w:rPr>
              <w:t>9,050  </w:t>
            </w:r>
          </w:p>
        </w:tc>
        <w:tc>
          <w:tcPr>
            <w:tcW w:w="3969" w:type="dxa"/>
          </w:tcPr>
          <w:p w14:paraId="69C9DE93" w14:textId="77777777" w:rsidR="00245426" w:rsidRPr="00BC30BE" w:rsidRDefault="00245426" w:rsidP="000621B6">
            <w:pPr>
              <w:keepNext/>
              <w:keepLines/>
              <w:spacing w:line="276" w:lineRule="auto"/>
              <w:jc w:val="right"/>
              <w:rPr>
                <w:rFonts w:asciiTheme="majorHAnsi" w:hAnsiTheme="majorHAnsi" w:cstheme="majorHAnsi"/>
              </w:rPr>
            </w:pPr>
            <w:r w:rsidRPr="00BC30BE">
              <w:rPr>
                <w:rFonts w:asciiTheme="majorHAnsi" w:hAnsiTheme="majorHAnsi" w:cstheme="majorHAnsi"/>
              </w:rPr>
              <w:t>17,250 </w:t>
            </w:r>
          </w:p>
        </w:tc>
      </w:tr>
      <w:tr w:rsidR="00245426" w:rsidRPr="00D836E6" w14:paraId="2E098BB5" w14:textId="77777777" w:rsidTr="000621B6">
        <w:tc>
          <w:tcPr>
            <w:tcW w:w="1700" w:type="dxa"/>
            <w:shd w:val="clear" w:color="auto" w:fill="D6F2F1" w:themeFill="accent4" w:themeFillTint="66"/>
          </w:tcPr>
          <w:p w14:paraId="61058ABE" w14:textId="77777777" w:rsidR="00245426" w:rsidRPr="00D836E6" w:rsidRDefault="00245426" w:rsidP="000621B6">
            <w:pPr>
              <w:keepNext/>
              <w:keepLines/>
              <w:spacing w:line="276" w:lineRule="auto"/>
              <w:rPr>
                <w:rFonts w:asciiTheme="majorHAnsi" w:hAnsiTheme="majorHAnsi" w:cstheme="majorHAnsi"/>
                <w:b/>
              </w:rPr>
            </w:pPr>
            <w:r w:rsidRPr="00D836E6">
              <w:rPr>
                <w:rFonts w:asciiTheme="majorHAnsi" w:hAnsiTheme="majorHAnsi" w:cstheme="majorHAnsi"/>
                <w:b/>
              </w:rPr>
              <w:t>Statewide total</w:t>
            </w:r>
          </w:p>
        </w:tc>
        <w:tc>
          <w:tcPr>
            <w:tcW w:w="2127" w:type="dxa"/>
            <w:shd w:val="clear" w:color="auto" w:fill="D6F2F1" w:themeFill="accent4" w:themeFillTint="66"/>
            <w:vAlign w:val="bottom"/>
          </w:tcPr>
          <w:p w14:paraId="2CA88281" w14:textId="77777777" w:rsidR="00245426" w:rsidRPr="00B44126" w:rsidRDefault="00245426" w:rsidP="000621B6">
            <w:pPr>
              <w:spacing w:line="276" w:lineRule="auto"/>
              <w:jc w:val="right"/>
              <w:rPr>
                <w:rFonts w:asciiTheme="majorHAnsi" w:hAnsiTheme="majorHAnsi" w:cstheme="majorHAnsi"/>
                <w:b/>
                <w:bCs/>
              </w:rPr>
            </w:pPr>
            <w:r w:rsidRPr="00B44126">
              <w:rPr>
                <w:rFonts w:asciiTheme="majorHAnsi" w:hAnsiTheme="majorHAnsi" w:cstheme="majorHAnsi"/>
                <w:b/>
                <w:bCs/>
              </w:rPr>
              <w:t>95,680  </w:t>
            </w:r>
          </w:p>
        </w:tc>
        <w:tc>
          <w:tcPr>
            <w:tcW w:w="3969" w:type="dxa"/>
            <w:shd w:val="clear" w:color="auto" w:fill="D6F2F1" w:themeFill="accent4" w:themeFillTint="66"/>
          </w:tcPr>
          <w:p w14:paraId="57A347E2" w14:textId="77777777" w:rsidR="00245426" w:rsidRPr="0014561D" w:rsidRDefault="00245426" w:rsidP="000621B6">
            <w:pPr>
              <w:spacing w:line="276" w:lineRule="auto"/>
              <w:jc w:val="right"/>
              <w:rPr>
                <w:rFonts w:asciiTheme="majorHAnsi" w:hAnsiTheme="majorHAnsi" w:cstheme="majorHAnsi"/>
                <w:b/>
                <w:bCs/>
              </w:rPr>
            </w:pPr>
            <w:r w:rsidRPr="0014561D">
              <w:rPr>
                <w:rFonts w:asciiTheme="majorHAnsi" w:hAnsiTheme="majorHAnsi" w:cstheme="majorHAnsi"/>
                <w:b/>
                <w:bCs/>
              </w:rPr>
              <w:t>191,200 </w:t>
            </w:r>
          </w:p>
        </w:tc>
      </w:tr>
    </w:tbl>
    <w:p w14:paraId="3F417A18" w14:textId="77777777" w:rsidR="00245426" w:rsidRPr="00AD2897" w:rsidRDefault="00245426" w:rsidP="00245426">
      <w:pPr>
        <w:pStyle w:val="BodyText"/>
        <w:spacing w:line="240" w:lineRule="auto"/>
        <w:rPr>
          <w:sz w:val="22"/>
          <w:szCs w:val="22"/>
          <w:vertAlign w:val="superscript"/>
        </w:rPr>
      </w:pPr>
      <w:r>
        <w:br/>
      </w:r>
      <w:r w:rsidRPr="00062F47">
        <w:rPr>
          <w:sz w:val="24"/>
          <w:szCs w:val="24"/>
          <w:vertAlign w:val="superscript"/>
        </w:rPr>
        <w:t>*For quota purposes, Eastern and Western Grey kangaroos are treated as “grey kangaroos” primarily because of the expected difficulty in distinguishing between the two species under harvest conditions. The species both occur in the Mallee, Upper Wimmera and Lower Wimmera harvest zones; the remaining harvest zones only have Eastern Grey kangaroos.</w:t>
      </w:r>
    </w:p>
    <w:p w14:paraId="4DF5AE4E" w14:textId="77777777" w:rsidR="00245426" w:rsidRPr="0005352B" w:rsidRDefault="00245426" w:rsidP="00245426">
      <w:pPr>
        <w:pStyle w:val="Heading2"/>
      </w:pPr>
      <w:r>
        <w:t>Determining the q</w:t>
      </w:r>
      <w:r w:rsidRPr="0005352B">
        <w:t xml:space="preserve">uota </w:t>
      </w:r>
    </w:p>
    <w:p w14:paraId="112392FD" w14:textId="77777777" w:rsidR="00433D86" w:rsidRDefault="00433D86" w:rsidP="00433D86">
      <w:pPr>
        <w:pStyle w:val="BodyText"/>
        <w:jc w:val="both"/>
      </w:pPr>
      <w:r>
        <w:t xml:space="preserve">Victoria’s kangaroo population was surveyed in non-forested areas in October 2020. The estimated Victorian population is approximately 1.9 million kangaroos. </w:t>
      </w:r>
    </w:p>
    <w:p w14:paraId="1CCABFE4" w14:textId="1C2884EB" w:rsidR="00433D86" w:rsidRDefault="00433D86" w:rsidP="00433D86">
      <w:pPr>
        <w:pStyle w:val="BodyText"/>
        <w:jc w:val="both"/>
      </w:pPr>
      <w:r>
        <w:lastRenderedPageBreak/>
        <w:t xml:space="preserve">The Arthur Rylah Institute for Environmental Research (ARI) was engaged to provide recommendation on the kangaroo harvest quota for Victoria - see </w:t>
      </w:r>
      <w:r w:rsidRPr="00D553F7">
        <w:rPr>
          <w:i/>
          <w:iCs/>
        </w:rPr>
        <w:t>Kangaroo harvest quotas for Victoria, 2021</w:t>
      </w:r>
      <w:r>
        <w:rPr>
          <w:i/>
          <w:iCs/>
        </w:rPr>
        <w:t xml:space="preserve"> </w:t>
      </w:r>
      <w:r>
        <w:t>R</w:t>
      </w:r>
      <w:r w:rsidRPr="00A3747D">
        <w:t>eport</w:t>
      </w:r>
      <w:r>
        <w:t>.</w:t>
      </w:r>
    </w:p>
    <w:p w14:paraId="652CBA07" w14:textId="46B727D0" w:rsidR="00245426" w:rsidRDefault="00245426" w:rsidP="00245426">
      <w:pPr>
        <w:pStyle w:val="BodyText"/>
        <w:jc w:val="both"/>
      </w:pPr>
      <w:r>
        <w:t>In forming their recommendations about quotas, ARI took into account:</w:t>
      </w:r>
    </w:p>
    <w:p w14:paraId="7FE99A9F" w14:textId="77777777" w:rsidR="00245426" w:rsidRDefault="00245426" w:rsidP="00245426">
      <w:pPr>
        <w:pStyle w:val="ListBullet"/>
      </w:pPr>
      <w:r>
        <w:t xml:space="preserve">predictions on kangaroo densities and abundance through the latest population aerial survey data, environmental variables, kangaroo age and sex structures and dispersal.  </w:t>
      </w:r>
    </w:p>
    <w:p w14:paraId="3FDDBE2C" w14:textId="77777777" w:rsidR="00245426" w:rsidRDefault="00245426" w:rsidP="00245426">
      <w:pPr>
        <w:pStyle w:val="ListBullet"/>
      </w:pPr>
      <w:r>
        <w:t>different harvest regimes.</w:t>
      </w:r>
    </w:p>
    <w:p w14:paraId="38D573EE" w14:textId="77777777" w:rsidR="00245426" w:rsidRDefault="00245426" w:rsidP="00245426">
      <w:pPr>
        <w:pStyle w:val="BodyText"/>
        <w:jc w:val="both"/>
      </w:pPr>
      <w:r>
        <w:t>ARI recommended the total state-wide take should not exceed 10% of the population across both the ATCW system and the KHP to maintain sustainable grey kangaroo populations.</w:t>
      </w:r>
      <w:r w:rsidRPr="006E2505">
        <w:t xml:space="preserve"> </w:t>
      </w:r>
      <w:r>
        <w:t xml:space="preserve">The KHP quotas are calculated after accounting for the estimated number of kangaroos that are predicted to be controlled under the ATCW system in each harvest zone in the coming year. </w:t>
      </w:r>
    </w:p>
    <w:p w14:paraId="335E2041" w14:textId="31C5554F" w:rsidR="00245426" w:rsidRDefault="007E5EA0" w:rsidP="00DD1FCA">
      <w:pPr>
        <w:pStyle w:val="BodyText"/>
        <w:jc w:val="both"/>
      </w:pPr>
      <w:r>
        <w:t xml:space="preserve">Consistent with the analysis and identified options for sustainable management outlined in the ARI report, DELWP has set  the quota, </w:t>
      </w:r>
      <w:r w:rsidRPr="0077404E">
        <w:t xml:space="preserve">DELWP expects some transfer from ATCWs to the kangaroo harvesting program </w:t>
      </w:r>
      <w:r>
        <w:t>as a result of greater promotion of the benefits of the program as the program enters its second year.  The quot</w:t>
      </w:r>
      <w:r w:rsidR="00DD1FCA">
        <w:t>a</w:t>
      </w:r>
      <w:r>
        <w:t xml:space="preserve"> has been set with allowance for an assumption that </w:t>
      </w:r>
      <w:r w:rsidR="00245426">
        <w:t xml:space="preserve">20% of landholders who have previously sought </w:t>
      </w:r>
      <w:r w:rsidR="00C81254">
        <w:t>ATCWs</w:t>
      </w:r>
      <w:r w:rsidR="00245426">
        <w:t xml:space="preserve"> will instead choose to have kangaroos controlled through the kangaroo harvesting program. </w:t>
      </w:r>
    </w:p>
    <w:p w14:paraId="7CE5AA19" w14:textId="677FBC29" w:rsidR="00245426" w:rsidRDefault="00245426" w:rsidP="00DD1FCA">
      <w:pPr>
        <w:pStyle w:val="BodyText"/>
        <w:jc w:val="both"/>
        <w:rPr>
          <w:b/>
          <w:bCs/>
          <w:lang w:eastAsia="en-AU"/>
        </w:rPr>
      </w:pPr>
      <w:r>
        <w:rPr>
          <w:lang w:eastAsia="en-AU"/>
        </w:rPr>
        <w:t>Throughout the year</w:t>
      </w:r>
      <w:r w:rsidRPr="002D35DB">
        <w:rPr>
          <w:lang w:eastAsia="en-AU"/>
        </w:rPr>
        <w:t xml:space="preserve">, DELWP will regularly monitor the number of kangaroos being taken through both the </w:t>
      </w:r>
      <w:r>
        <w:rPr>
          <w:lang w:eastAsia="en-AU"/>
        </w:rPr>
        <w:t>kangaroo harvesting program</w:t>
      </w:r>
      <w:r w:rsidRPr="002D35DB">
        <w:rPr>
          <w:lang w:eastAsia="en-AU"/>
        </w:rPr>
        <w:t xml:space="preserve"> and the </w:t>
      </w:r>
      <w:r w:rsidR="00C81254">
        <w:t>ATCW</w:t>
      </w:r>
      <w:r>
        <w:t xml:space="preserve"> </w:t>
      </w:r>
      <w:r w:rsidRPr="002D35DB">
        <w:rPr>
          <w:lang w:eastAsia="en-AU"/>
        </w:rPr>
        <w:t xml:space="preserve">system. If numbers taken are approaching the recommended </w:t>
      </w:r>
      <w:r>
        <w:rPr>
          <w:lang w:eastAsia="en-AU"/>
        </w:rPr>
        <w:t>total</w:t>
      </w:r>
      <w:r w:rsidRPr="002D35DB">
        <w:rPr>
          <w:lang w:eastAsia="en-AU"/>
        </w:rPr>
        <w:t xml:space="preserve"> take in any zone, </w:t>
      </w:r>
      <w:r>
        <w:rPr>
          <w:lang w:eastAsia="en-AU"/>
        </w:rPr>
        <w:t>or</w:t>
      </w:r>
      <w:r w:rsidRPr="00EA3199">
        <w:rPr>
          <w:lang w:eastAsia="en-AU"/>
        </w:rPr>
        <w:t xml:space="preserve"> if there are other events which threaten kangaroos, such as bushfires, the impact</w:t>
      </w:r>
      <w:r>
        <w:rPr>
          <w:lang w:eastAsia="en-AU"/>
        </w:rPr>
        <w:t>s</w:t>
      </w:r>
      <w:r w:rsidRPr="00EA3199">
        <w:rPr>
          <w:lang w:eastAsia="en-AU"/>
        </w:rPr>
        <w:t xml:space="preserve"> will be evaluated and harvesting </w:t>
      </w:r>
      <w:r w:rsidRPr="00560D79">
        <w:rPr>
          <w:lang w:eastAsia="en-AU"/>
        </w:rPr>
        <w:t>may be suspended or</w:t>
      </w:r>
      <w:r>
        <w:rPr>
          <w:lang w:eastAsia="en-AU"/>
        </w:rPr>
        <w:t xml:space="preserve"> closed with the</w:t>
      </w:r>
      <w:r w:rsidRPr="00560D79">
        <w:rPr>
          <w:lang w:eastAsia="en-AU"/>
        </w:rPr>
        <w:t xml:space="preserve"> quota reduce</w:t>
      </w:r>
      <w:r>
        <w:rPr>
          <w:lang w:eastAsia="en-AU"/>
        </w:rPr>
        <w:t>d</w:t>
      </w:r>
      <w:r w:rsidRPr="00EA3199">
        <w:rPr>
          <w:lang w:eastAsia="en-AU"/>
        </w:rPr>
        <w:t xml:space="preserve"> in affected areas.</w:t>
      </w:r>
      <w:r>
        <w:rPr>
          <w:lang w:eastAsia="en-AU"/>
        </w:rPr>
        <w:t xml:space="preserve"> These </w:t>
      </w:r>
      <w:r w:rsidRPr="002D35DB">
        <w:rPr>
          <w:lang w:eastAsia="en-AU"/>
        </w:rPr>
        <w:t>action</w:t>
      </w:r>
      <w:r>
        <w:rPr>
          <w:lang w:eastAsia="en-AU"/>
        </w:rPr>
        <w:t>s</w:t>
      </w:r>
      <w:r w:rsidRPr="002D35DB">
        <w:rPr>
          <w:lang w:eastAsia="en-AU"/>
        </w:rPr>
        <w:t xml:space="preserve"> will ensure the take remains sustainable. </w:t>
      </w:r>
    </w:p>
    <w:p w14:paraId="11BB7406" w14:textId="77777777" w:rsidR="00245426" w:rsidRPr="002A0419" w:rsidRDefault="00245426" w:rsidP="00245426">
      <w:pPr>
        <w:pStyle w:val="Heading2"/>
      </w:pPr>
      <w:r w:rsidRPr="000E107E">
        <w:t>F</w:t>
      </w:r>
      <w:r>
        <w:rPr>
          <w:b w:val="0"/>
          <w:bCs w:val="0"/>
          <w:iCs w:val="0"/>
        </w:rPr>
        <w:t>urther information</w:t>
      </w:r>
    </w:p>
    <w:p w14:paraId="5F5ED63B" w14:textId="77777777" w:rsidR="00245426" w:rsidRDefault="00245426" w:rsidP="00DD1FCA">
      <w:pPr>
        <w:pStyle w:val="BodyText"/>
        <w:jc w:val="both"/>
      </w:pPr>
      <w:r>
        <w:t>For more detailed information on the calculation of the quota,</w:t>
      </w:r>
      <w:r w:rsidDel="001B1CFE">
        <w:t xml:space="preserve"> </w:t>
      </w:r>
      <w:r>
        <w:t>refer to the ARI report,</w:t>
      </w:r>
      <w:r w:rsidRPr="00486877">
        <w:t xml:space="preserve"> </w:t>
      </w:r>
      <w:r w:rsidRPr="007044A0">
        <w:rPr>
          <w:i/>
          <w:iCs/>
        </w:rPr>
        <w:t>Kangaroo harvest quotas for Victoria, 2021</w:t>
      </w:r>
      <w:r>
        <w:rPr>
          <w:i/>
          <w:iCs/>
        </w:rPr>
        <w:t>.</w:t>
      </w:r>
    </w:p>
    <w:p w14:paraId="544D7D49" w14:textId="77777777" w:rsidR="00C46A59" w:rsidRPr="00C46A59" w:rsidRDefault="00C46A59" w:rsidP="00245426">
      <w:pPr>
        <w:pStyle w:val="IntroFeatureText"/>
      </w:pPr>
      <w:bookmarkStart w:id="0" w:name="_GoBack"/>
      <w:bookmarkEnd w:id="0"/>
    </w:p>
    <w:sectPr w:rsidR="00C46A59" w:rsidRPr="00C46A59" w:rsidSect="00DE028D">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B4F9" w14:textId="77777777" w:rsidR="005B321A" w:rsidRDefault="005B321A">
      <w:r>
        <w:separator/>
      </w:r>
    </w:p>
    <w:p w14:paraId="20307F50" w14:textId="77777777" w:rsidR="005B321A" w:rsidRDefault="005B321A"/>
    <w:p w14:paraId="7F90E525" w14:textId="77777777" w:rsidR="005B321A" w:rsidRDefault="005B321A"/>
  </w:endnote>
  <w:endnote w:type="continuationSeparator" w:id="0">
    <w:p w14:paraId="2B50BA9C" w14:textId="77777777" w:rsidR="005B321A" w:rsidRDefault="005B321A">
      <w:r>
        <w:continuationSeparator/>
      </w:r>
    </w:p>
    <w:p w14:paraId="5313ACE4" w14:textId="77777777" w:rsidR="005B321A" w:rsidRDefault="005B321A"/>
    <w:p w14:paraId="34DC85D7" w14:textId="77777777" w:rsidR="005B321A" w:rsidRDefault="005B3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66A8F7E5" w14:textId="77777777" w:rsidTr="00F66894">
      <w:trPr>
        <w:trHeight w:val="397"/>
      </w:trPr>
      <w:tc>
        <w:tcPr>
          <w:tcW w:w="340" w:type="dxa"/>
        </w:tcPr>
        <w:p w14:paraId="43E4D9DA" w14:textId="77777777" w:rsidR="00C46A59" w:rsidRPr="00D55628" w:rsidRDefault="00245426" w:rsidP="00DE028D">
          <w:pPr>
            <w:pStyle w:val="FooterEvenPageNumber"/>
            <w:framePr w:wrap="auto" w:vAnchor="margin" w:hAnchor="text" w:yAlign="inline"/>
          </w:pPr>
          <w:r>
            <w:rPr>
              <w:noProof/>
            </w:rPr>
            <mc:AlternateContent>
              <mc:Choice Requires="wps">
                <w:drawing>
                  <wp:anchor distT="0" distB="0" distL="114300" distR="114300" simplePos="1" relativeHeight="251704320" behindDoc="0" locked="0" layoutInCell="0" allowOverlap="1" wp14:anchorId="1C040056" wp14:editId="608DA63A">
                    <wp:simplePos x="0" y="10229453"/>
                    <wp:positionH relativeFrom="page">
                      <wp:posOffset>0</wp:posOffset>
                    </wp:positionH>
                    <wp:positionV relativeFrom="page">
                      <wp:posOffset>10229215</wp:posOffset>
                    </wp:positionV>
                    <wp:extent cx="7560945" cy="273050"/>
                    <wp:effectExtent l="0" t="0" r="0" b="12700"/>
                    <wp:wrapNone/>
                    <wp:docPr id="4" name="MSIPCM4997498ba277e718e785d9a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D07E3"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40056" id="_x0000_t202" coordsize="21600,21600" o:spt="202" path="m,l,21600r21600,l21600,xe">
                    <v:stroke joinstyle="miter"/>
                    <v:path gradientshapeok="t" o:connecttype="rect"/>
                  </v:shapetype>
                  <v:shape id="MSIPCM4997498ba277e718e785d9ae"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vHswIAAEoFAAAOAAAAZHJzL2Uyb0RvYy54bWysVMlu2zAQvRfoPxA89NRYsiOvjRy4Tt0G&#10;cBIDTpEzTVKWAInDkLSltOi/d6jFWdpT0Qs5nBnO8viGF5dVkZOjNDYDFdN+L6REKg4iU/uYfr9f&#10;nU0osY4pwXJQMqZP0tLL+ft3F6WeyQGkkAtpCAZRdlbqmKbO6VkQWJ7KgtkeaKnQmIApmMOj2QfC&#10;sBKjF3kwCMNRUIIR2gCX1qL2qjHSeR0/SSR3d0lipSN5TLE2V6+mXnd+DeYXbLY3TKcZb8tg/1BF&#10;wTKFSU+hrphj5GCyP0IVGTdgIXE9DkUASZJxWfeA3fTDN91sU6Zl3QuCY/UJJvv/wvLb48aQTMQ0&#10;okSxAp/oZnu9Wd5E0+k4mk52bDAey3F/IseToZgySYmQliOCPz88HsB9+sZsugQhm9PsrD8YRaNJ&#10;OBhNPrYOMtunrjVPokEvbA0PmXBpqx9Ohyf9JmdcFlJ1dxqXFYCTppHbANdKyKoN0Gx3QiyU+HKU&#10;6pXjFmmA/Gxd++31e9CtJjzlXsukS4vKX54epbYzRGmrESdXfYYKad7pLSr9q1eJKfyO70nQjkR7&#10;OpFLVo5wVI6Ho3AaDSnhaBuMz8Nhzb7g+bY21n2VUBAvxNRg1TWn2HFtHVaCrp2LT6ZgleV5TeBc&#10;kTKmo3MM+cqCN3KFF30PTa1ectWuahvbgXjCvgw0g2E1X2WYfM2s2zCDk4Ct4HS7O1ySHDAJtBIl&#10;KZgff9N7fyQoWikpcbJiah8PzCBz8muF1J32o8iPYn1AwbzU7jqtOhRLwKHt4/+heS16X5d3YmKg&#10;eMDhX/hsaGKKY86Y7jpx6fCEBvw8uFwsahmHTjO3VlvNfWgPlof0vnpgRre4O3yxW+hmj83ewN/4&#10;NjAvDg6SrH4bD2yDZos3Dmz9ZO3n4n+El+fa6/kLnP8G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Mw6S8ezAgAASgUA&#10;AA4AAAAAAAAAAAAAAAAALgIAAGRycy9lMm9Eb2MueG1sUEsBAi0AFAAGAAgAAAAhABFyp37fAAAA&#10;CwEAAA8AAAAAAAAAAAAAAAAADQUAAGRycy9kb3ducmV2LnhtbFBLBQYAAAAABAAEAPMAAAAZBgAA&#10;AAA=&#10;" o:allowincell="f" filled="f" stroked="f" strokeweight=".5pt">
                    <v:textbox inset=",0,,0">
                      <w:txbxContent>
                        <w:p w14:paraId="6E1D07E3"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3D865CF5" w14:textId="77777777" w:rsidR="00C46A59" w:rsidRPr="00D55628" w:rsidRDefault="00C46A59" w:rsidP="00DE028D">
          <w:pPr>
            <w:pStyle w:val="FooterEven"/>
          </w:pPr>
        </w:p>
      </w:tc>
    </w:tr>
  </w:tbl>
  <w:p w14:paraId="7B3B04AC"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7835D309" w14:textId="77777777" w:rsidTr="00F66894">
      <w:trPr>
        <w:trHeight w:val="397"/>
      </w:trPr>
      <w:tc>
        <w:tcPr>
          <w:tcW w:w="9071" w:type="dxa"/>
        </w:tcPr>
        <w:p w14:paraId="095E3E84" w14:textId="77777777" w:rsidR="00C46A59" w:rsidRPr="00CB1FB7" w:rsidRDefault="00245426" w:rsidP="00DE028D">
          <w:pPr>
            <w:pStyle w:val="FooterOdd"/>
            <w:rPr>
              <w:b/>
            </w:rPr>
          </w:pPr>
          <w:r>
            <w:rPr>
              <w:b/>
              <w:noProof/>
            </w:rPr>
            <mc:AlternateContent>
              <mc:Choice Requires="wps">
                <w:drawing>
                  <wp:anchor distT="0" distB="0" distL="114300" distR="114300" simplePos="1" relativeHeight="251702272" behindDoc="0" locked="0" layoutInCell="0" allowOverlap="1" wp14:anchorId="352EE7BF" wp14:editId="637D5AB5">
                    <wp:simplePos x="0" y="10229453"/>
                    <wp:positionH relativeFrom="page">
                      <wp:posOffset>0</wp:posOffset>
                    </wp:positionH>
                    <wp:positionV relativeFrom="page">
                      <wp:posOffset>10229215</wp:posOffset>
                    </wp:positionV>
                    <wp:extent cx="7560945" cy="273050"/>
                    <wp:effectExtent l="0" t="0" r="0" b="12700"/>
                    <wp:wrapNone/>
                    <wp:docPr id="2" name="MSIPCM276d4e4ca0be1c209fc376ab"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36B5F"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2EE7BF" id="_x0000_t202" coordsize="21600,21600" o:spt="202" path="m,l,21600r21600,l21600,xe">
                    <v:stroke joinstyle="miter"/>
                    <v:path gradientshapeok="t" o:connecttype="rect"/>
                  </v:shapetype>
                  <v:shape id="MSIPCM276d4e4ca0be1c209fc376ab"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9vswIAAE4FAAAOAAAAZHJzL2Uyb0RvYy54bWysVEtv2zAMvg/YfxB02GmNH02cx+oUWYqs&#10;BdI2QDr0rMhybMAWVUlpnA3776NkJ31sp2EXiSIpPj/y4rKpK/IstClBpjTqhZQIySEr5Tal3x8W&#10;ZyNKjGUyYxVIkdKDMPRy+vHDxV5NRAwFVJnQBI1IM9mrlBbWqkkQGF6ImpkeKCFRmIOumcWn3gaZ&#10;Znu0XldBHIZJsAedKQ1cGIPcq1ZIp95+ngtu7/PcCEuqlGJs1p/anxt3BtMLNtlqpoqSd2Gwf4ii&#10;ZqVEpydTV8wystPlH6bqkmswkNsehzqAPC+58DlgNlH4Lpt1wZTwuWBxjDqVyfw/s/zueaVJmaU0&#10;pkSyGlt0u75ZzW/jYZL1RZ+zcCMiHofjnJ8PE7ahJBOGYwV/fnragf1yzUwxh0y0r8lZFCf9ZBTG&#10;yehzpyDKbWE78agf98JO8Fhmtuj4g/HgxF9VjItayOOfVmUBYIVu6c7AjcxE0xlor5Uua6YPb7TW&#10;iAEEZ6cXdX8fQHWc8OR4KfKjT2T+ctjYKzPBEq0VFsk2X6FBjB/5Bpmu5U2ua3djMwnKEWWHE7JE&#10;YwlH5nCQhOP+gBKOsnh4Hg489IKX30ob+01ATRyRUo1Re0Cx56WxGAmqHlWcMwmLsqo8eitJ9ilN&#10;ztHkGwn+qCR+dDm0sTrKNpvG9/uUxwayA6anoR0Oo/iixBiWzNgV0zgNmBFOuL3HI68AfUFHUVKA&#10;/vE3vtNHkKKUkj1OV0rN045pQUl1IxG+46jfd+PoH0jo19zNkSt39RxwcCPcIYp70una6kjmGupH&#10;XAAz5w1FTHL0mVJEaUvOLb5QgAuEi9nM0zh4itmlXCvuTLuauco+NI9Mq678Fht3B8f5Y5N3XWh1&#10;22rPdhby0rfI1betZld2HFrfuW7BuK3w+u21Xtbg9D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2HT2+zAgAATgUA&#10;AA4AAAAAAAAAAAAAAAAALgIAAGRycy9lMm9Eb2MueG1sUEsBAi0AFAAGAAgAAAAhABFyp37fAAAA&#10;CwEAAA8AAAAAAAAAAAAAAAAADQUAAGRycy9kb3ducmV2LnhtbFBLBQYAAAAABAAEAPMAAAAZBgAA&#10;AAA=&#10;" o:allowincell="f" filled="f" stroked="f" strokeweight=".5pt">
                    <v:textbox inset=",0,,0">
                      <w:txbxContent>
                        <w:p w14:paraId="3EF36B5F"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p>
      </w:tc>
      <w:tc>
        <w:tcPr>
          <w:tcW w:w="340" w:type="dxa"/>
        </w:tcPr>
        <w:p w14:paraId="7F90FC8E"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3EDFF6C" w14:textId="77777777" w:rsidR="00C46A59" w:rsidRDefault="00C46A59" w:rsidP="00DE028D">
    <w:pPr>
      <w:pStyle w:val="Footer"/>
    </w:pPr>
  </w:p>
  <w:p w14:paraId="1C6CB584"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6FB4" w14:textId="77777777" w:rsidR="00C46A59" w:rsidRDefault="00245426" w:rsidP="00BF3066">
    <w:pPr>
      <w:pStyle w:val="Footer"/>
      <w:spacing w:before="1600"/>
    </w:pPr>
    <w:r>
      <w:rPr>
        <w:noProof/>
      </w:rPr>
      <mc:AlternateContent>
        <mc:Choice Requires="wps">
          <w:drawing>
            <wp:anchor distT="0" distB="0" distL="114300" distR="114300" simplePos="0" relativeHeight="251703296" behindDoc="0" locked="0" layoutInCell="0" allowOverlap="1" wp14:anchorId="62017C02" wp14:editId="6DFF443F">
              <wp:simplePos x="0" y="0"/>
              <wp:positionH relativeFrom="page">
                <wp:posOffset>0</wp:posOffset>
              </wp:positionH>
              <wp:positionV relativeFrom="page">
                <wp:posOffset>10229215</wp:posOffset>
              </wp:positionV>
              <wp:extent cx="7560945" cy="273050"/>
              <wp:effectExtent l="0" t="0" r="0" b="12700"/>
              <wp:wrapNone/>
              <wp:docPr id="3" name="MSIPCMe0c34505bb979f9b7b2e64d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142E5"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017C02" id="_x0000_t202" coordsize="21600,21600" o:spt="202" path="m,l,21600r21600,l21600,xe">
              <v:stroke joinstyle="miter"/>
              <v:path gradientshapeok="t" o:connecttype="rect"/>
            </v:shapetype>
            <v:shape id="MSIPCMe0c34505bb979f9b7b2e64d0"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oOsgIAAFAFAAAOAAAAZHJzL2Uyb0RvYy54bWysVEtv2zAMvg/YfxB02GmNHeed1SmyFNkK&#10;pG2AdOhZluXYgC2qktI4G/bfR9ly2nU7DbvY1EeKj4+kLq/qqiTPQpsCZEz7vZASITmkhdzH9NvD&#10;+mJKibFMpqwEKWJ6EoZeLd6/uzyquYgghzIVmqATaeZHFdPcWjUPAsNzUTHTAyUkKjPQFbN41Psg&#10;1eyI3qsyiMJwHBxBp0oDF8Yget0q6aLxn2WC2/ssM8KSMqaYm22+uvkm7hssLtl8r5nKC+7TYP+Q&#10;RcUKiUHPrq6ZZeSgiz9cVQXXYCCzPQ5VAFlWcNHUgNX0wzfV7HKmRFMLkmPUmSbz/9zyu+etJkUa&#10;0wElklXYotvdzXZ1K0I+GI7CUZLMJrNslkySSIyHKXKYCsORwR8fng5gP31lJl9BKtrT/KIfjYfj&#10;aRiNpx+9gSj2ufXq6TDqhV7xWKQ29/hoNjrj25JxUQnZ3WlN1gBW6Fb2Dm5kKmrvwBsV2tgt2/ts&#10;vN0OpwDH01v2PfoAyiPhOfRGZF1UBH+66TgqM0eSdgppsvVnqHHKO9wg6JpeZ7pyf2wnQT1ydDrP&#10;lqgt4QhORuNwNhxRwlEXTQbhqBm+4OW2wty/CKiIE2KqMetmpNjzxljMBE07ExdMwrooy2Z+S0mO&#10;MR0P0OVvGrxRSrzoamhzdZKtk7rpeNTVkUB6wvI0tOthFF87IjfMkalxH7Ai3HF7j5+sBIwFXqIk&#10;B/39b7izxzFFLSVH3K+YmqcD04KS8kbiAM/6w6FbyOaAgn6NJh0qD9UKcHX7+Ioo3ojO1padmGmo&#10;HvEJWLpoqGKSY8yYJp24snhCBT4hXCyXjYyrp5jdyJ3izrXjzDH7UD8yrTz9Fht3B90GsvmbLrS2&#10;LdvLg4WsaFrk+G3Z9LTj2jad80+Mexdenxurl4dw8Q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SmWaDrICAABQBQAA&#10;DgAAAAAAAAAAAAAAAAAuAgAAZHJzL2Uyb0RvYy54bWxQSwECLQAUAAYACAAAACEAEXKnft8AAAAL&#10;AQAADwAAAAAAAAAAAAAAAAAMBQAAZHJzL2Rvd25yZXYueG1sUEsFBgAAAAAEAAQA8wAAABgGAAAA&#10;AA==&#10;" o:allowincell="f" filled="f" stroked="f" strokeweight=".5pt">
              <v:textbox inset=",0,,0">
                <w:txbxContent>
                  <w:p w14:paraId="6FA142E5"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89984" behindDoc="1" locked="1" layoutInCell="1" allowOverlap="1" wp14:anchorId="74EA17D3" wp14:editId="53A0EC11">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701248" behindDoc="0" locked="1" layoutInCell="1" allowOverlap="1" wp14:anchorId="5F8D301A" wp14:editId="467B2CD0">
              <wp:simplePos x="0" y="0"/>
              <wp:positionH relativeFrom="page">
                <wp:align>left</wp:align>
              </wp:positionH>
              <wp:positionV relativeFrom="page">
                <wp:align>bottom</wp:align>
              </wp:positionV>
              <wp:extent cx="3848400" cy="720000"/>
              <wp:effectExtent l="0" t="0" r="0" b="4445"/>
              <wp:wrapNone/>
              <wp:docPr id="28"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23060"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301A" id="WebAddress" o:spid="_x0000_s1029" type="#_x0000_t202" style="position:absolute;margin-left:0;margin-top:0;width:303pt;height:56.7pt;z-index:2517012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dZhQ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U/&#10;RKesaNCjR7VaVpVHRVN5WhfmQN074GL3mTq0ebwPuExZd9o36Y98GPQo9G5fXNVFJnF5dDo7nU2g&#10;ktB9RO8gw33xbO18iF8UNSwJJfdoXq6p2F6H2ENHSHrM0lVtTG6gsawt+cnR8SQb7DVwbmzCqkyF&#10;wU3KqI88S3FnVMIY+01plCInkC4yCdWF8WwrQB8hpbIx5579Ap1QGkG8xXDAP0f1FuM+j/FlsnFv&#10;3NSWfM7+VdjVjzFk3eNR8xd5JzF2qy5z4Ghs7IqqHfrtqR+Y4ORVjaZcixDvhMeEoI+Y+niLjzaE&#10;4tMgcbYm/+tv9wkP4kLLWYuJK3n4uRFecWa+WlD6GOxI/Ij5NDsGRzjz+fBpOpvhsHqpsZvmgtCW&#10;KRaMk1lM+GhGUXtqHrEdlulZqISVeLzkcRQvYr8IsF2kWi4zCFPpRLy2904m16lLiXMP3aPwbiBm&#10;BKVvaBxOMX/Fzx6bLC0tN5F0ncmbCt2XdWgAJjrTf9g+aWW8PGfU845c/AYAAP//AwBQSwMEFAAG&#10;AAgAAAAhABhDUQHbAAAABQEAAA8AAABkcnMvZG93bnJldi54bWxMj8FOwzAQRO9I/IO1SNyok7YE&#10;FOJUiMKFGwUJenPjJQmN11G8aQNfz8IFLiuNZjT7plhNvlMHHGIbyEA6S0AhVcG1VBt4eX64uAYV&#10;2ZKzXSA08IkRVuXpSWFzF470hIcN10pKKObWQMPc51rHqkFv4yz0SOK9h8FbFjnU2g32KOW+0/Mk&#10;ybS3LcmHxvZ412C134zeAN6P68XV6+Xjettv+WO+X3616Zsx52fT7Q0oxon/wvCDL+hQCtMujOSi&#10;6gzIEP694mVJJnInoXSxBF0W+j99+Q0AAP//AwBQSwECLQAUAAYACAAAACEAtoM4kv4AAADhAQAA&#10;EwAAAAAAAAAAAAAAAAAAAAAAW0NvbnRlbnRfVHlwZXNdLnhtbFBLAQItABQABgAIAAAAIQA4/SH/&#10;1gAAAJQBAAALAAAAAAAAAAAAAAAAAC8BAABfcmVscy8ucmVsc1BLAQItABQABgAIAAAAIQDy8odZ&#10;hQIAAGsFAAAOAAAAAAAAAAAAAAAAAC4CAABkcnMvZTJvRG9jLnhtbFBLAQItABQABgAIAAAAIQAY&#10;Q1EB2wAAAAUBAAAPAAAAAAAAAAAAAAAAAN8EAABkcnMvZG93bnJldi54bWxQSwUGAAAAAAQABADz&#10;AAAA5wUAAAAA&#10;" filled="f" stroked="f" strokeweight=".5pt">
              <v:textbox inset="15mm">
                <w:txbxContent>
                  <w:p w14:paraId="7C723060"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87936" behindDoc="1" locked="1" layoutInCell="1" allowOverlap="1" wp14:anchorId="7E72F975" wp14:editId="1BD8EBCD">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299E80C0" w14:textId="77777777" w:rsidTr="00F66894">
      <w:trPr>
        <w:trHeight w:val="397"/>
      </w:trPr>
      <w:tc>
        <w:tcPr>
          <w:tcW w:w="340" w:type="dxa"/>
        </w:tcPr>
        <w:p w14:paraId="41EB41DA" w14:textId="77777777" w:rsidR="00DE028D" w:rsidRPr="00D55628" w:rsidRDefault="00245426" w:rsidP="00DE028D">
          <w:pPr>
            <w:pStyle w:val="FooterEvenPageNumber"/>
            <w:framePr w:wrap="auto" w:vAnchor="margin" w:hAnchor="text" w:yAlign="inline"/>
          </w:pPr>
          <w:r>
            <w:rPr>
              <w:noProof/>
            </w:rPr>
            <mc:AlternateContent>
              <mc:Choice Requires="wps">
                <w:drawing>
                  <wp:anchor distT="0" distB="0" distL="114300" distR="114300" simplePos="0" relativeHeight="251707392" behindDoc="0" locked="0" layoutInCell="0" allowOverlap="1" wp14:anchorId="39A1C94F" wp14:editId="0EB4BAA3">
                    <wp:simplePos x="0" y="0"/>
                    <wp:positionH relativeFrom="page">
                      <wp:posOffset>0</wp:posOffset>
                    </wp:positionH>
                    <wp:positionV relativeFrom="page">
                      <wp:posOffset>10229215</wp:posOffset>
                    </wp:positionV>
                    <wp:extent cx="7560945" cy="273050"/>
                    <wp:effectExtent l="0" t="0" r="0" b="12700"/>
                    <wp:wrapNone/>
                    <wp:docPr id="10" name="MSIPCM1cd24e50a47d779a0f07439c"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57516"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A1C94F" id="_x0000_t202" coordsize="21600,21600" o:spt="202" path="m,l,21600r21600,l21600,xe">
                    <v:stroke joinstyle="miter"/>
                    <v:path gradientshapeok="t" o:connecttype="rect"/>
                  </v:shapetype>
                  <v:shape id="MSIPCM1cd24e50a47d779a0f07439c"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7073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KttQIAAFIFAAAOAAAAZHJzL2Uyb0RvYy54bWysVMlu2zAQvRfoPxA89NRYsiKvjRy4Tt0G&#10;cBIDTpEzTVKWAInDkLSttOi/d6jFWdpT0Qs5nBnO8ma5uKzKghyksTmohPZ7ISVScRC52iX0+/3y&#10;bEyJdUwJVoCSCX2Sll7O3r+7OOqpjCCDQkhD0Iiy06NOaOacngaB5Zksme2BlgqFKZiSOXyaXSAM&#10;O6L1sgiiMBwGRzBCG+DSWuReNUI6q+2nqeTuLk2tdKRIKMbm6tPU59afweyCTXeG6SznbRjsH6Io&#10;Wa7Q6cnUFXOM7E3+h6ky5wYspK7HoQwgTXMu6xwwm374JptNxrSsc0FwrD7BZP+fWX57WBuSC6wd&#10;wqNYiTW62VyvFzd9LqJYDkIWj8RoNGFhGo7i8wmnREjLEcKfHx734D59YzZbgJDNa3rWj4bxcBxG&#10;w/HHVkHmu8y14nEc9cJW8JALl7X8wWRw4q8LxmUpVfenUVkCOGkaujVwrYSsWgPNdSfEXIkvB6le&#10;KW6wD7BBW9Wo/X4PuuWEJ98rmXZukfnL98dR2ynCtNEIlKs+Q4VYdXyLTF/2KjWlv7GgBOUI5dOp&#10;u2TlCEfmaDAMJ/GAEo6yaHQeDur2C55/a2PdVwkl8URCDUZdNxU7rKzDSFC1U/HOFCzzoqg7uFDk&#10;mNDhOZp8JcEfhcKPPocmVk+5alvVNY+7PLYgnjA9A82AWM2XOcawYtatmcGJwIxwyt0dHmkB6Ata&#10;ipIMzI+/8b0+NipKKTnihCXUPu6ZkZQU1wpbeNKPYz+S9QMJ85K77bhqXy4Ah7ePe0TzmvS6rujI&#10;1ED5gEtg7r2hiCmOPhO67ciFwxcKcIlwOZ/XNA6fZm6lNpp70x4zj+x99cCMbuF3WLhb6GaQTd9U&#10;odFt0J7vHaR5XSKPb4NmCzsObl25dsn4zfDyXWs9r8LZ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X7wyrbUCAABS&#10;BQAADgAAAAAAAAAAAAAAAAAuAgAAZHJzL2Uyb0RvYy54bWxQSwECLQAUAAYACAAAACEAEXKnft8A&#10;AAALAQAADwAAAAAAAAAAAAAAAAAPBQAAZHJzL2Rvd25yZXYueG1sUEsFBgAAAAAEAAQA8wAAABsG&#10;AAAAAA==&#10;" o:allowincell="f" filled="f" stroked="f" strokeweight=".5pt">
                    <v:textbox inset=",0,,0">
                      <w:txbxContent>
                        <w:p w14:paraId="0B757516"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794A11EC" w14:textId="77777777" w:rsidR="00DE028D" w:rsidRPr="00D55628" w:rsidRDefault="00DE028D" w:rsidP="00DE028D">
          <w:pPr>
            <w:pStyle w:val="FooterEven"/>
          </w:pPr>
        </w:p>
      </w:tc>
    </w:tr>
  </w:tbl>
  <w:p w14:paraId="40BDFC86"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2982149" w14:textId="77777777" w:rsidTr="00F66894">
      <w:trPr>
        <w:trHeight w:val="397"/>
      </w:trPr>
      <w:tc>
        <w:tcPr>
          <w:tcW w:w="9071" w:type="dxa"/>
        </w:tcPr>
        <w:p w14:paraId="745D4099" w14:textId="77777777" w:rsidR="00DE028D" w:rsidRPr="00CB1FB7" w:rsidRDefault="00245426" w:rsidP="00DE028D">
          <w:pPr>
            <w:pStyle w:val="FooterOdd"/>
            <w:rPr>
              <w:b/>
            </w:rPr>
          </w:pPr>
          <w:r>
            <w:rPr>
              <w:b/>
              <w:noProof/>
            </w:rPr>
            <mc:AlternateContent>
              <mc:Choice Requires="wps">
                <w:drawing>
                  <wp:anchor distT="0" distB="0" distL="114300" distR="114300" simplePos="1" relativeHeight="251705344" behindDoc="0" locked="0" layoutInCell="0" allowOverlap="1" wp14:anchorId="4668B803" wp14:editId="3A6818CB">
                    <wp:simplePos x="0" y="10229453"/>
                    <wp:positionH relativeFrom="page">
                      <wp:posOffset>0</wp:posOffset>
                    </wp:positionH>
                    <wp:positionV relativeFrom="page">
                      <wp:posOffset>10229215</wp:posOffset>
                    </wp:positionV>
                    <wp:extent cx="7560945" cy="273050"/>
                    <wp:effectExtent l="0" t="0" r="0" b="12700"/>
                    <wp:wrapNone/>
                    <wp:docPr id="8" name="MSIPCM458047a2a311f9ac656fea5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68E63"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68B803" id="_x0000_t202" coordsize="21600,21600" o:spt="202" path="m,l,21600r21600,l21600,xe">
                    <v:stroke joinstyle="miter"/>
                    <v:path gradientshapeok="t" o:connecttype="rect"/>
                  </v:shapetype>
                  <v:shape id="MSIPCM458047a2a311f9ac656fea52"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7053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VnswIAAE4FAAAOAAAAZHJzL2Uyb0RvYy54bWysVEtv2zAMvg/YfxB02GmLHTd2k6xOkaXI&#10;ViBtA6RDz4osxwZsUZWUxtmw/z5KttPHdhp2kSiS4uPj4+KyqSvyJLQpQaZ0OAgpEZJDVspdSr/f&#10;Lz+NKTGWyYxVIEVKj8LQy9n7dxcHNRURFFBlQhM0Is30oFJaWKumQWB4IWpmBqCERGEOumYWn3oX&#10;ZJod0HpdBVEYJsEBdKY0cGEMcq9aIZ15+3kuuL3LcyMsqVKKsVl/an9u3RnMLth0p5kqSt6Fwf4h&#10;ipqVEp2eTF0xy8hel3+YqkuuwUBuBxzqAPK85MLngNkMwzfZbAqmhM8FwTHqBJP5f2b57dNakzJL&#10;KRZKshpLdLO5Xi9uRvE4HJ2ziJ0Nh/mE8SROcsHiiJJMGI4I/vzwuAf7+RszxQIy0b6mn4ZRMkrG&#10;YZSMP3YKotwVthOPR9Eg7AQPZWaLjh9P4hN/XTEuaiH7P63KEsAK3dKdgWuZiaYz0F5rXdZMH19p&#10;bbAHsDk7vaj7ew+q44QnxyuR9z6R+cv1xkGZKUK0UQiSbb5Agz3e8w0yXcmbXNfuxmISlGOXHU+d&#10;JRpLODLP4yScjGJKOMqi87Mw9q0XPP9W2tivAmriiJRqjNo3FHtaGYuRoGqv4pxJWJZV5bu3kuSQ&#10;0uQMTb6S4I9K4keXQxuro2yzbXy94z6PLWRHTE9DOxxG8WWJMayYsWumcRowI5xwe4dHXgH6go6i&#10;pAD94298p49NilJKDjhdKTWPe6YFJdW1xPadDEcjN47+gYR+yd32XLmvF4CDO8Qdorgnna6tejLX&#10;UD/gApg7byhikqPPlG57cmHxhQJcIFzM557GwVPMruRGcWfaYeaQvW8emFYd/BYLdwv9/LHpmyq0&#10;ui3a872FvPQlcvi2aHaw49D6ynULxm2Fl2+v9bwGZ78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MCW5WezAgAATgUA&#10;AA4AAAAAAAAAAAAAAAAALgIAAGRycy9lMm9Eb2MueG1sUEsBAi0AFAAGAAgAAAAhABFyp37fAAAA&#10;CwEAAA8AAAAAAAAAAAAAAAAADQUAAGRycy9kb3ducmV2LnhtbFBLBQYAAAAABAAEAPMAAAAZBgAA&#10;AAA=&#10;" o:allowincell="f" filled="f" stroked="f" strokeweight=".5pt">
                    <v:textbox inset=",0,,0">
                      <w:txbxContent>
                        <w:p w14:paraId="10F68E63"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p>
      </w:tc>
      <w:tc>
        <w:tcPr>
          <w:tcW w:w="340" w:type="dxa"/>
        </w:tcPr>
        <w:p w14:paraId="388432A8"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6141C795" w14:textId="77777777" w:rsidR="00DE028D" w:rsidRDefault="00DE028D" w:rsidP="00DE028D">
    <w:pPr>
      <w:pStyle w:val="Footer"/>
    </w:pPr>
  </w:p>
  <w:p w14:paraId="339285B5"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DDE5" w14:textId="77777777" w:rsidR="00E962AA" w:rsidRDefault="00245426" w:rsidP="00BF3066">
    <w:pPr>
      <w:pStyle w:val="Footer"/>
      <w:spacing w:before="1600"/>
    </w:pPr>
    <w:r>
      <w:rPr>
        <w:noProof/>
      </w:rPr>
      <mc:AlternateContent>
        <mc:Choice Requires="wps">
          <w:drawing>
            <wp:anchor distT="0" distB="0" distL="114300" distR="114300" simplePos="1" relativeHeight="251706368" behindDoc="0" locked="0" layoutInCell="0" allowOverlap="1" wp14:anchorId="73B45D2C" wp14:editId="69674E4D">
              <wp:simplePos x="0" y="10229453"/>
              <wp:positionH relativeFrom="page">
                <wp:posOffset>0</wp:posOffset>
              </wp:positionH>
              <wp:positionV relativeFrom="page">
                <wp:posOffset>10229215</wp:posOffset>
              </wp:positionV>
              <wp:extent cx="7560945" cy="273050"/>
              <wp:effectExtent l="0" t="0" r="0" b="12700"/>
              <wp:wrapNone/>
              <wp:docPr id="9" name="MSIPCM00054a16bf9fc2221c3a61f1"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F76CA"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B45D2C" id="_x0000_t202" coordsize="21600,21600" o:spt="202" path="m,l,21600r21600,l21600,xe">
              <v:stroke joinstyle="miter"/>
              <v:path gradientshapeok="t" o:connecttype="rect"/>
            </v:shapetype>
            <v:shape id="MSIPCM00054a16bf9fc2221c3a61f1"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706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vmsgIAAFAFAAAOAAAAZHJzL2Uyb0RvYy54bWysVEtv2zAMvg/YfxB02GmNH03cJKtTZCmy&#10;FUjbAOnQsyJLsQFbUiWlcTbsv4+S5bTrdhp2samPFB8fSV1etU2Nnpk2lRQ5TgYxRkxQWVRil+Nv&#10;D8uzMUbGElGQWgqW4yMz+Gr2/t3lQU1ZKktZF0wjcCLM9KByXFqrplFkaMkaYgZSMQFKLnVDLBz1&#10;Lio0OYD3po7SOM6ig9SF0pIyYwC97pR45v1zzqi959wwi+ocQ27Wf7X/bt03ml2S6U4TVVY0pEH+&#10;IYuGVAKCnlxdE0vQXld/uGoqqqWR3A6obCLJeUWZrwGqSeI31WxKopivBcgx6kST+X9u6d3zWqOq&#10;yPEEI0EaaNHt5ma9uI3jeDQkSbblE07TNE3oOckSnmBUMEOBwR8fnvbSfvpKTLmQBetO07MkzYbZ&#10;OE6z8cdgwKpdaYN6PEwHcVA8VoUtAz6ajE74uiaUNUz0dzqTpZSW6U4ODm5EwdrgIBhV2tg12YVs&#10;gt0GpgDGM1imAX2QKiDxKfSK8T4qgD/ddByUmQJJGwU02fazbGHKe9wA6Jrect24P7QTgR7m7Hia&#10;LdZaRAG8GGXxZDjCiIIuvTiPR374opfbCnL/wmSDnJBjDVn7kSLPK2MhEzDtTVwwIZdVXfv5rQU6&#10;5Dg7B5e/aeBGLeCiq6HL1Um23ba+41lfx1YWRyhPy249jKJLR+SKODI17ANUBDtu7+HDawmxZJAw&#10;KqX+/jfc2cOYghajA+xXjs3TnmiGUX0jYIAnyXDoFtIfQNCv0W2Pin2zkLC6MHaQlRedra17kWvZ&#10;PMITMHfRQEUEhZg53vbiwsIJFPCEUDafexlWTxG7EhtFnWvHmWP2oX0kWgX6LTTuTvYbSKZvutDZ&#10;dmzP91byyrfI8duxGWiHtfWdC0+Mexden73Vy0M4+wU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fEzb5rICAABQBQAA&#10;DgAAAAAAAAAAAAAAAAAuAgAAZHJzL2Uyb0RvYy54bWxQSwECLQAUAAYACAAAACEAEXKnft8AAAAL&#10;AQAADwAAAAAAAAAAAAAAAAAMBQAAZHJzL2Rvd25yZXYueG1sUEsFBgAAAAAEAAQA8wAAABgGAAAA&#10;AA==&#10;" o:allowincell="f" filled="f" stroked="f" strokeweight=".5pt">
              <v:textbox inset=",0,,0">
                <w:txbxContent>
                  <w:p w14:paraId="55FF76CA" w14:textId="77777777" w:rsidR="00245426" w:rsidRPr="00245426" w:rsidRDefault="00245426" w:rsidP="00245426">
                    <w:pPr>
                      <w:jc w:val="center"/>
                      <w:rPr>
                        <w:rFonts w:ascii="Calibri" w:hAnsi="Calibri" w:cs="Calibri"/>
                        <w:color w:val="000000"/>
                        <w:sz w:val="24"/>
                      </w:rPr>
                    </w:pPr>
                    <w:r w:rsidRPr="00245426">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3B33E0C6" wp14:editId="5042EEFC">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32D71855" wp14:editId="00CD461B">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5E072963" wp14:editId="53CBA1EB">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873DF"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72963" id="_x0000_s1033"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582873DF"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460F8957" wp14:editId="5D14A7B2">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BC96" w14:textId="77777777" w:rsidR="005B321A" w:rsidRPr="008F5280" w:rsidRDefault="005B321A" w:rsidP="008F5280">
      <w:pPr>
        <w:pStyle w:val="FootnoteSeparator"/>
      </w:pPr>
    </w:p>
    <w:p w14:paraId="091FAFD8" w14:textId="77777777" w:rsidR="005B321A" w:rsidRDefault="005B321A"/>
  </w:footnote>
  <w:footnote w:type="continuationSeparator" w:id="0">
    <w:p w14:paraId="4C62CFFB" w14:textId="77777777" w:rsidR="005B321A" w:rsidRDefault="005B321A" w:rsidP="008F5280">
      <w:pPr>
        <w:pStyle w:val="FootnoteSeparator"/>
      </w:pPr>
    </w:p>
    <w:p w14:paraId="05D19F3D" w14:textId="77777777" w:rsidR="005B321A" w:rsidRDefault="005B321A"/>
    <w:p w14:paraId="55D68C79" w14:textId="77777777" w:rsidR="005B321A" w:rsidRDefault="005B321A"/>
  </w:footnote>
  <w:footnote w:type="continuationNotice" w:id="1">
    <w:p w14:paraId="501F2085" w14:textId="77777777" w:rsidR="005B321A" w:rsidRDefault="005B321A" w:rsidP="00D55628"/>
    <w:p w14:paraId="552F6276" w14:textId="77777777" w:rsidR="005B321A" w:rsidRDefault="005B321A"/>
    <w:p w14:paraId="15E12209" w14:textId="77777777" w:rsidR="005B321A" w:rsidRDefault="005B3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10C2CCC0" w14:textId="77777777" w:rsidTr="00F66894">
      <w:trPr>
        <w:trHeight w:hRule="exact" w:val="1418"/>
      </w:trPr>
      <w:tc>
        <w:tcPr>
          <w:tcW w:w="7761" w:type="dxa"/>
          <w:vAlign w:val="center"/>
        </w:tcPr>
        <w:p w14:paraId="159BB030" w14:textId="1768D145"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F10856">
            <w:rPr>
              <w:noProof/>
              <w:lang w:val="en-US"/>
            </w:rPr>
            <w:t>2021</w:t>
          </w:r>
          <w:r w:rsidR="00F10856" w:rsidRPr="00F10856">
            <w:rPr>
              <w:noProof/>
            </w:rPr>
            <w:t xml:space="preserve"> Kangaroo Harvest Quota Determination</w:t>
          </w:r>
          <w:r>
            <w:rPr>
              <w:noProof/>
            </w:rPr>
            <w:fldChar w:fldCharType="end"/>
          </w:r>
        </w:p>
      </w:tc>
    </w:tr>
  </w:tbl>
  <w:p w14:paraId="1C3594C7"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54B176C0" wp14:editId="372591F8">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1787"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375DB85A" wp14:editId="217625B2">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4F50A"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4C90DEB4" wp14:editId="6CBC6C57">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B16E0"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1395345A" wp14:editId="5E062627">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5256D5"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4E996484"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43986CFC" w14:textId="77777777" w:rsidTr="00F66894">
      <w:trPr>
        <w:trHeight w:hRule="exact" w:val="1418"/>
      </w:trPr>
      <w:tc>
        <w:tcPr>
          <w:tcW w:w="7761" w:type="dxa"/>
          <w:vAlign w:val="center"/>
        </w:tcPr>
        <w:p w14:paraId="62D29484" w14:textId="10CEDE96"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F10856">
            <w:rPr>
              <w:noProof/>
            </w:rPr>
            <w:t>2021 Kangaroo Harvest Quota Determination</w:t>
          </w:r>
          <w:r>
            <w:rPr>
              <w:noProof/>
            </w:rPr>
            <w:fldChar w:fldCharType="end"/>
          </w:r>
        </w:p>
      </w:tc>
    </w:tr>
  </w:tbl>
  <w:p w14:paraId="4999E201"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2CF28E9F" wp14:editId="7056252D">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76CA"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33DD3120" wp14:editId="47B2632E">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759E9"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2193AB49" wp14:editId="391EE59D">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46C8D"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715B868F" wp14:editId="5F460393">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7A507E"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F800DC4"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CD03"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5B0DC72A" wp14:editId="3A9E884D">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5129"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6EDFB6FB" wp14:editId="177BA031">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7CBD2594" wp14:editId="7F579E4A">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5F608314" wp14:editId="14917C65">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F326D"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2C5DF846" wp14:editId="2C0A5725">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2384"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23BDE562" wp14:editId="4715AA42">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EF81C"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25316EA9" wp14:editId="746F0436">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A91A47"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E2B4447" w14:textId="77777777" w:rsidTr="00F66894">
      <w:trPr>
        <w:trHeight w:hRule="exact" w:val="1418"/>
      </w:trPr>
      <w:tc>
        <w:tcPr>
          <w:tcW w:w="7761" w:type="dxa"/>
          <w:vAlign w:val="center"/>
        </w:tcPr>
        <w:p w14:paraId="5C54D990" w14:textId="01D1319B"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DD1FCA">
            <w:rPr>
              <w:noProof/>
            </w:rPr>
            <w:t>2021 Kangaroo Harvest Quota Determination</w:t>
          </w:r>
          <w:r>
            <w:rPr>
              <w:noProof/>
            </w:rPr>
            <w:fldChar w:fldCharType="end"/>
          </w:r>
        </w:p>
      </w:tc>
    </w:tr>
  </w:tbl>
  <w:p w14:paraId="1CE71EE7"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6BDAD955" wp14:editId="45D0851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A2334"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6B8FB7D2" wp14:editId="038BF10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AAA63"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2AAA1EDD" wp14:editId="5B6EDA2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7D9229"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699945DA"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7A39AFB4" w14:textId="77777777" w:rsidTr="00F66894">
      <w:trPr>
        <w:trHeight w:hRule="exact" w:val="1418"/>
      </w:trPr>
      <w:tc>
        <w:tcPr>
          <w:tcW w:w="7761" w:type="dxa"/>
          <w:vAlign w:val="center"/>
        </w:tcPr>
        <w:p w14:paraId="4D777112" w14:textId="02F26ED2"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F10856">
            <w:rPr>
              <w:noProof/>
            </w:rPr>
            <w:t>2021 Kangaroo Harvest Quota Determination</w:t>
          </w:r>
          <w:r>
            <w:rPr>
              <w:noProof/>
            </w:rPr>
            <w:fldChar w:fldCharType="end"/>
          </w:r>
        </w:p>
      </w:tc>
    </w:tr>
  </w:tbl>
  <w:p w14:paraId="12168960"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46B3EA27" wp14:editId="7F2AA7CA">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1B582"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2273F77B" wp14:editId="55E9F05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E14AF"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0AB61E76" wp14:editId="07BB5B1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100EFF"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5A0DA75"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F101"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468BE515" wp14:editId="7FE03F7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58EF2366" wp14:editId="692DED5F">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21F8563E" wp14:editId="4F113E3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E3AB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638DD9CA" wp14:editId="53E9119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82119"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2F54CDAF" wp14:editId="636387C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28E91"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7C5C5832" wp14:editId="7DB068E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7184B6"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0362308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54B003D"/>
    <w:multiLevelType w:val="multilevel"/>
    <w:tmpl w:val="92F06D52"/>
    <w:lvl w:ilvl="0">
      <w:start w:val="1"/>
      <w:numFmt w:val="bullet"/>
      <w:lvlText w:val="o"/>
      <w:lvlJc w:val="left"/>
      <w:pPr>
        <w:tabs>
          <w:tab w:val="num" w:pos="340"/>
        </w:tabs>
        <w:ind w:left="340" w:hanging="170"/>
      </w:pPr>
      <w:rPr>
        <w:rFonts w:ascii="Courier New" w:hAnsi="Courier New" w:cs="Courier New"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2"/>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245426"/>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1"/>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477"/>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44"/>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26"/>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09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D86"/>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21A"/>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E2F"/>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04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CD9"/>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A0"/>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598"/>
    <w:rsid w:val="00917B5E"/>
    <w:rsid w:val="00920652"/>
    <w:rsid w:val="00920F57"/>
    <w:rsid w:val="00921411"/>
    <w:rsid w:val="00921449"/>
    <w:rsid w:val="00921B1C"/>
    <w:rsid w:val="00921E43"/>
    <w:rsid w:val="00921F13"/>
    <w:rsid w:val="00922379"/>
    <w:rsid w:val="00922550"/>
    <w:rsid w:val="00922660"/>
    <w:rsid w:val="00922B08"/>
    <w:rsid w:val="009238E4"/>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1ED"/>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254"/>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2EED"/>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1FCA"/>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8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7F1"/>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856"/>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E43"/>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3D837F2"/>
  <w15:docId w15:val="{6441A014-7BC8-4A8B-958D-3EBE692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45426"/>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table" w:customStyle="1" w:styleId="DELWPTable">
    <w:name w:val="DELWP_Table"/>
    <w:basedOn w:val="TableNormal"/>
    <w:uiPriority w:val="99"/>
    <w:rsid w:val="00245426"/>
    <w:pPr>
      <w:spacing w:line="240" w:lineRule="auto"/>
    </w:pPr>
    <w:rPr>
      <w:rFonts w:ascii="Times New Roman" w:hAnsi="Times New Roman" w:cs="Times New Roman"/>
      <w:color w:val="auto"/>
    </w:rPr>
    <w:tblPr>
      <w:tblInd w:w="108" w:type="dxa"/>
      <w:tblBorders>
        <w:bottom w:val="single" w:sz="4" w:space="0" w:color="00B2A9" w:themeColor="accent1"/>
        <w:insideH w:val="single" w:sz="4" w:space="0" w:color="00B2A9" w:themeColor="accent1"/>
      </w:tblBorders>
    </w:tblPr>
    <w:tblStylePr w:type="firstRow">
      <w:tblPr/>
      <w:tcPr>
        <w:tcBorders>
          <w:top w:val="nil"/>
          <w:left w:val="nil"/>
          <w:bottom w:val="nil"/>
          <w:right w:val="nil"/>
          <w:insideH w:val="nil"/>
          <w:insideV w:val="nil"/>
          <w:tl2br w:val="nil"/>
          <w:tr2bl w:val="nil"/>
        </w:tcBorders>
        <w:shd w:val="clear" w:color="auto" w:fill="00B2A9"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13</Value>
      <Value>10</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o2e611f6ba3e4c8f9a895dfb7980639e xmlns="9fd47c19-1c4a-4d7d-b342-c10cef269344">
      <Terms xmlns="http://schemas.microsoft.com/office/infopath/2007/PartnerControls"/>
    </o2e611f6ba3e4c8f9a895dfb7980639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Reference_x0020_Number xmlns="a5f32de4-e402-4188-b034-e71ca7d22e54" xsi:nil="true"/>
    <Location_x0020_Valu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Regulatory Strategy and Design</TermName>
          <TermId xmlns="http://schemas.microsoft.com/office/infopath/2007/PartnerControls">0c92b1d6-0441-4f18-9fb2-5aaec9f3881c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Version with Secretary comments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ld508a88e6264ce89693af80a72862cb xmlns="9fd47c19-1c4a-4d7d-b342-c10cef269344">
      <Terms xmlns="http://schemas.microsoft.com/office/infopath/2007/PartnerControls"/>
    </ld508a88e6264ce89693af80a72862cb>
    <nbfd1bde7ed6491b97d01c37ba24b9e9 xmlns="9270aafe-fcc7-45fa-bab9-f880aa5f0142">
      <Terms xmlns="http://schemas.microsoft.com/office/infopath/2007/PartnerControls">
        <TermInfo xmlns="http://schemas.microsoft.com/office/infopath/2007/PartnerControls">
          <TermName xmlns="http://schemas.microsoft.com/office/infopath/2007/PartnerControls">Macropods</TermName>
          <TermId xmlns="http://schemas.microsoft.com/office/infopath/2007/PartnerControls">9dba5400-4237-40df-8956-f472cc737f4f</TermId>
        </TermInfo>
      </Terms>
    </nbfd1bde7ed6491b97d01c37ba24b9e9>
    <i43598050ec3425f98ea17eec2b95b06 xmlns="9270aafe-fcc7-45fa-bab9-f880aa5f0142">
      <Terms xmlns="http://schemas.microsoft.com/office/infopath/2007/PartnerControls"/>
    </i43598050ec3425f98ea17eec2b95b06>
    <_dlc_DocId xmlns="a5f32de4-e402-4188-b034-e71ca7d22e54">DOCID577-1955204648-645</_dlc_DocId>
    <_dlc_DocIdUrl xmlns="a5f32de4-e402-4188-b034-e71ca7d22e54">
      <Url>https://delwpvicgovau.sharepoint.com/sites/ecm_577/_layouts/15/DocIdRedir.aspx?ID=DOCID577-1955204648-645</Url>
      <Description>DOCID577-1955204648-645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emo" ma:contentTypeID="0x0101002517F445A0F35E449C98AAD631F2B0380F00A6A862A15CA6144EA84755C79F9B47D4" ma:contentTypeVersion="25" ma:contentTypeDescription="A note describing something to be remembered or acted upon in the future – AGLS " ma:contentTypeScope="" ma:versionID="16e6b2ae6c1309c4b9018be3c60fc4c0">
  <xsd:schema xmlns:xsd="http://www.w3.org/2001/XMLSchema" xmlns:xs="http://www.w3.org/2001/XMLSchema" xmlns:p="http://schemas.microsoft.com/office/2006/metadata/properties" xmlns:ns1="http://schemas.microsoft.com/sharepoint/v3" xmlns:ns2="a5f32de4-e402-4188-b034-e71ca7d22e54" xmlns:ns3="9fd47c19-1c4a-4d7d-b342-c10cef269344" xmlns:ns4="9270aafe-fcc7-45fa-bab9-f880aa5f0142" targetNamespace="http://schemas.microsoft.com/office/2006/metadata/properties" ma:root="true" ma:fieldsID="2ad4aa11baa01105f8d98e42e98ab402" ns1:_="" ns2:_="" ns3:_="" ns4:_="">
    <xsd:import namespace="http://schemas.microsoft.com/sharepoint/v3"/>
    <xsd:import namespace="a5f32de4-e402-4188-b034-e71ca7d22e54"/>
    <xsd:import namespace="9fd47c19-1c4a-4d7d-b342-c10cef269344"/>
    <xsd:import namespace="9270aafe-fcc7-45fa-bab9-f880aa5f014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i43598050ec3425f98ea17eec2b95b06" minOccurs="0"/>
                <xsd:element ref="ns2:Reference_x0020_Number" minOccurs="0"/>
                <xsd:element ref="ns2:Location_x0020_Value" minOccurs="0"/>
                <xsd:element ref="ns4:nbfd1bde7ed6491b97d01c37ba24b9e9" minOccurs="0"/>
                <xsd:element ref="ns3:o2e611f6ba3e4c8f9a895dfb7980639e" minOccurs="0"/>
                <xsd:element ref="ns3:ld508a88e6264ce89693af80a72862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4" nillable="true" ma:displayName="Reference Number" ma:internalName="Reference_x0020_Number">
      <xsd:simpleType>
        <xsd:restriction base="dms:Text">
          <xsd:maxLength value="255"/>
        </xsd:restriction>
      </xsd:simpleType>
    </xsd:element>
    <xsd:element name="Location_x0020_Value" ma:index="36" nillable="true" ma:displayName="Location Value" ma:internalName="Location_x0020_Val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0;#Regulatory Strategy and Design|0c92b1d6-0441-4f18-9fb2-5aaec9f3881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851c3b2-08e9-4687-9477-cc437b8ed79b}" ma:internalName="TaxCatchAll" ma:showField="CatchAllData"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851c3b2-08e9-4687-9477-cc437b8ed79b}" ma:internalName="TaxCatchAllLabel" ma:readOnly="true" ma:showField="CatchAllDataLabel"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8;#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o2e611f6ba3e4c8f9a895dfb7980639e" ma:index="39" nillable="true" ma:taxonomy="true" ma:internalName="o2e611f6ba3e4c8f9a895dfb7980639e" ma:taxonomyFieldName="Location_x0020_Type" ma:displayName="Location Type" ma:default=""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element name="ld508a88e6264ce89693af80a72862cb" ma:index="40"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70aafe-fcc7-45fa-bab9-f880aa5f0142" elementFormDefault="qualified">
    <xsd:import namespace="http://schemas.microsoft.com/office/2006/documentManagement/types"/>
    <xsd:import namespace="http://schemas.microsoft.com/office/infopath/2007/PartnerControls"/>
    <xsd:element name="i43598050ec3425f98ea17eec2b95b06" ma:index="32" nillable="true" ma:taxonomy="true" ma:internalName="i43598050ec3425f98ea17eec2b95b06" ma:taxonomyFieldName="Document_x0020_type" ma:displayName="Document type" ma:default="" ma:fieldId="{24359805-0ec3-425f-98ea-17eec2b95b06}" ma:sspId="797aeec6-0273-40f2-ab3e-beee73212332" ma:termSetId="695491d0-7f44-4453-a13b-7a575883fa26" ma:anchorId="94ac0ddc-7ea0-4ded-b430-74a3294e646c" ma:open="true" ma:isKeyword="false">
      <xsd:complexType>
        <xsd:sequence>
          <xsd:element ref="pc:Terms" minOccurs="0" maxOccurs="1"/>
        </xsd:sequence>
      </xsd:complexType>
    </xsd:element>
    <xsd:element name="nbfd1bde7ed6491b97d01c37ba24b9e9" ma:index="38" nillable="true" ma:taxonomy="true" ma:internalName="nbfd1bde7ed6491b97d01c37ba24b9e9" ma:taxonomyFieldName="Species" ma:displayName="Species" ma:default="" ma:fieldId="{7bfd1bde-7ed6-491b-97d0-1c37ba24b9e9}" ma:sspId="797aeec6-0273-40f2-ab3e-beee73212332" ma:termSetId="57087a93-9b96-45fd-a3f0-bb270e5de89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0F"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72CF-BC59-45B9-8977-A040E26089EE}">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9270aafe-fcc7-45fa-bab9-f880aa5f0142"/>
  </ds:schemaRefs>
</ds:datastoreItem>
</file>

<file path=customXml/itemProps2.xml><?xml version="1.0" encoding="utf-8"?>
<ds:datastoreItem xmlns:ds="http://schemas.openxmlformats.org/officeDocument/2006/customXml" ds:itemID="{25FAE59D-8C6E-49AE-8645-626E60F7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270aafe-fcc7-45fa-bab9-f880aa5f0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98C78-BC32-4BCF-931F-406A442CDA09}">
  <ds:schemaRefs>
    <ds:schemaRef ds:uri="http://schemas.microsoft.com/office/2006/metadata/customXsn"/>
  </ds:schemaRefs>
</ds:datastoreItem>
</file>

<file path=customXml/itemProps4.xml><?xml version="1.0" encoding="utf-8"?>
<ds:datastoreItem xmlns:ds="http://schemas.openxmlformats.org/officeDocument/2006/customXml" ds:itemID="{F5290B01-99B7-46FB-A36F-F3D666F6B0DD}">
  <ds:schemaRefs>
    <ds:schemaRef ds:uri="Microsoft.SharePoint.Taxonomy.ContentTypeSync"/>
  </ds:schemaRefs>
</ds:datastoreItem>
</file>

<file path=customXml/itemProps5.xml><?xml version="1.0" encoding="utf-8"?>
<ds:datastoreItem xmlns:ds="http://schemas.openxmlformats.org/officeDocument/2006/customXml" ds:itemID="{745337D2-8583-4592-B445-2658732A1B7C}">
  <ds:schemaRefs>
    <ds:schemaRef ds:uri="http://schemas.microsoft.com/sharepoint/events"/>
  </ds:schemaRefs>
</ds:datastoreItem>
</file>

<file path=customXml/itemProps6.xml><?xml version="1.0" encoding="utf-8"?>
<ds:datastoreItem xmlns:ds="http://schemas.openxmlformats.org/officeDocument/2006/customXml" ds:itemID="{67F384E0-D67D-4900-9BE3-49C2CCABCAA6}">
  <ds:schemaRefs>
    <ds:schemaRef ds:uri="http://schemas.microsoft.com/sharepoint/v3/contenttype/forms"/>
  </ds:schemaRefs>
</ds:datastoreItem>
</file>

<file path=customXml/itemProps7.xml><?xml version="1.0" encoding="utf-8"?>
<ds:datastoreItem xmlns:ds="http://schemas.openxmlformats.org/officeDocument/2006/customXml" ds:itemID="{9EAD4A80-CB7B-4434-9998-3D064157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2021 Kangaroo Harvest Quota Determination</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Kangaroo Harvest Quota Determination</dc:title>
  <dc:subject/>
  <dc:creator>Bali Forbes (DELWP)</dc:creator>
  <cp:keywords/>
  <dc:description/>
  <cp:lastModifiedBy>Bali Forbes (DELWP)</cp:lastModifiedBy>
  <cp:revision>7</cp:revision>
  <cp:lastPrinted>2021-01-14T02:00:00Z</cp:lastPrinted>
  <dcterms:created xsi:type="dcterms:W3CDTF">2021-01-14T01:58:00Z</dcterms:created>
  <dcterms:modified xsi:type="dcterms:W3CDTF">2021-01-14T23:21:00Z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2021-01-13T04:26:08Z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4eaaf1b1-2a99-439f-b62b-a691b174f23a</vt:lpwstr>
  </property>
  <property fmtid="{D5CDD505-2E9C-101B-9397-08002B2CF9AE}" pid="24" name="MSIP_Label_4257e2ab-f512-40e2-9c9a-c64247360765_ContentBits">
    <vt:lpwstr>2</vt:lpwstr>
  </property>
  <property fmtid="{D5CDD505-2E9C-101B-9397-08002B2CF9AE}" pid="25" name="ContentTypeId">
    <vt:lpwstr>0x0101002517F445A0F35E449C98AAD631F2B0380F00A6A862A15CA6144EA84755C79F9B47D4</vt:lpwstr>
  </property>
  <property fmtid="{D5CDD505-2E9C-101B-9397-08002B2CF9AE}" pid="26" name="Section">
    <vt:lpwstr>7;#All|8270565e-a836-42c0-aa61-1ac7b0ff14aa</vt:lpwstr>
  </property>
  <property fmtid="{D5CDD505-2E9C-101B-9397-08002B2CF9AE}" pid="27" name="Sub-Section">
    <vt:lpwstr/>
  </property>
  <property fmtid="{D5CDD505-2E9C-101B-9397-08002B2CF9AE}" pid="28" name="Agency">
    <vt:lpwstr>1;#Department of Environment, Land, Water and Planning|607a3f87-1228-4cd9-82a5-076aa8776274</vt:lpwstr>
  </property>
  <property fmtid="{D5CDD505-2E9C-101B-9397-08002B2CF9AE}" pid="29" name="Branch">
    <vt:lpwstr>10;#Regulatory Strategy and Design|0c92b1d6-0441-4f18-9fb2-5aaec9f3881c</vt:lpwstr>
  </property>
  <property fmtid="{D5CDD505-2E9C-101B-9397-08002B2CF9AE}" pid="30" name="o85941e134754762b9719660a258a6e6">
    <vt:lpwstr/>
  </property>
  <property fmtid="{D5CDD505-2E9C-101B-9397-08002B2CF9AE}" pid="31" name="Copyright_x0020_Licence_x0020_Name">
    <vt:lpwstr/>
  </property>
  <property fmtid="{D5CDD505-2E9C-101B-9397-08002B2CF9AE}" pid="32" name="df723ab3fe1c4eb7a0b151674e7ac40d">
    <vt:lpwstr/>
  </property>
  <property fmtid="{D5CDD505-2E9C-101B-9397-08002B2CF9AE}" pid="33" name="Species">
    <vt:lpwstr>13</vt:lpwstr>
  </property>
  <property fmtid="{D5CDD505-2E9C-101B-9397-08002B2CF9AE}" pid="34" name="Division">
    <vt:lpwstr>8;#Biodiversity|a369ff78-9705-4b66-a29c-499bde0c7988</vt:lpwstr>
  </property>
  <property fmtid="{D5CDD505-2E9C-101B-9397-08002B2CF9AE}" pid="35" name="Copyright_x0020_License_x0020_Type">
    <vt:lpwstr/>
  </property>
  <property fmtid="{D5CDD505-2E9C-101B-9397-08002B2CF9AE}" pid="36" name="Location Type">
    <vt:lpwstr/>
  </property>
  <property fmtid="{D5CDD505-2E9C-101B-9397-08002B2CF9AE}" pid="37" name="Dissemination Limiting Marker">
    <vt:lpwstr>3;#FOUO|955eb6fc-b35a-4808-8aa5-31e514fa3f26</vt:lpwstr>
  </property>
  <property fmtid="{D5CDD505-2E9C-101B-9397-08002B2CF9AE}" pid="38" name="Group1">
    <vt:lpwstr>15;#Environment and Climate Change|b90772f5-2afa-408f-b8b8-93ad6baba774</vt:lpwstr>
  </property>
  <property fmtid="{D5CDD505-2E9C-101B-9397-08002B2CF9AE}" pid="39" name="Security Classification">
    <vt:lpwstr>2;#Unclassified|7fa379f4-4aba-4692-ab80-7d39d3a23cf4</vt:lpwstr>
  </property>
  <property fmtid="{D5CDD505-2E9C-101B-9397-08002B2CF9AE}" pid="40" name="Reference Type">
    <vt:lpwstr/>
  </property>
  <property fmtid="{D5CDD505-2E9C-101B-9397-08002B2CF9AE}" pid="41" name="Copyright Licence Name">
    <vt:lpwstr/>
  </property>
  <property fmtid="{D5CDD505-2E9C-101B-9397-08002B2CF9AE}" pid="42" name="Copyright License Type">
    <vt:lpwstr/>
  </property>
  <property fmtid="{D5CDD505-2E9C-101B-9397-08002B2CF9AE}" pid="43" name="_dlc_DocIdItemGuid">
    <vt:lpwstr>2706ee9a-3b52-4481-abc1-3a7b48b54f99</vt:lpwstr>
  </property>
</Properties>
</file>